
<file path=[Content_Types].xml><?xml version="1.0" encoding="utf-8"?>
<Types xmlns="http://schemas.openxmlformats.org/package/2006/content-types">
  <Default Extension="bmp" ContentType="image/bmp"/>
  <Default Extension="gif" ContentType="image/gi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docProps/app.xml" ContentType="application/vnd.openxmlformats-officedocument.extended-properties+xml"/>
  <Override PartName="/word/footnotes.xml" ContentType="application/vnd.openxmlformats-officedocument.wordprocessingml.footnotes+xml"/>
  <Override PartName="/word/endnotes.xml" ContentType="application/vnd.openxmlformats-officedocument.wordprocessingml.endnotes+xml"/>
  <Override PartName="/word/settings.xml" ContentType="application/vnd.openxmlformats-officedocument.wordprocessingml.settings+xml"/>
  <Override PartName="/word/comments.xml" ContentType="application/vnd.openxmlformats-officedocument.wordprocessingml.comment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0" w:before="200"/>
      </w:pPr>
      <w:r>
        <w:rPr>
          <w:rFonts w:ascii="Arial" w:cs="Arial" w:eastAsia="Arial" w:hAnsi="Arial"/>
          <w:b/>
          <w:bCs/>
          <w:color w:val="003B8E"/>
          <w:spacing w:val="60"/>
          <w:sz w:val="14"/>
          <w:szCs w:val="14"/>
        </w:rPr>
        <w:t xml:space="preserve">VELTRIXAIR ENTERPRISES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shd w:fill="0A1628" w:val="clear"/>
            <w:tcMar>
              <w:top w:type="dxa" w:w="0"/>
              <w:left w:type="dxa" w:w="0"/>
              <w:bottom w:type="dxa" w:w="0"/>
              <w:right w:type="dxa" w:w="0"/>
            </w:tcMar>
            <w:vAlign w:val="center"/>
          </w:tcPr>
          <w:p>
            <w:pPr>
              <w:spacing w:after="200" w:before="800"/>
              <w:jc w:val="center"/>
            </w:pPr>
            <w:r>
              <w:rPr>
                <w:rFonts w:ascii="Arial" w:cs="Arial" w:eastAsia="Arial" w:hAnsi="Arial"/>
                <w:b/>
                <w:bCs/>
                <w:color w:val="FFFFFF"/>
                <w:spacing w:val="40"/>
                <w:sz w:val="144"/>
                <w:szCs w:val="144"/>
              </w:rPr>
              <w:t xml:space="preserve">VELTRIXAIR</w:t>
            </w:r>
          </w:p>
          <w:p>
            <w:pPr>
              <w:pBdr>
                <w:bottom w:val="single" w:color="C9A84C" w:sz="12" w:space="1"/>
              </w:pBdr>
              <w:spacing w:after="320" w:before="0"/>
              <w:ind w:left="3600" w:right="3600"/>
              <w:jc w:val="center"/>
            </w:pPr>
            <w:r>
              <w:rPr>
                <w:color w:val="FFFFFF"/>
              </w:rPr>
              <w:t xml:space="preserve"/>
            </w:r>
          </w:p>
          <w:p>
            <w:pPr>
              <w:spacing w:after="120" w:before="0"/>
              <w:jc w:val="center"/>
            </w:pPr>
            <w:r>
              <w:rPr>
                <w:rFonts w:ascii="Arial" w:cs="Arial" w:eastAsia="Arial" w:hAnsi="Arial"/>
                <w:b/>
                <w:bCs/>
                <w:color w:val="C9A84C"/>
                <w:spacing w:val="80"/>
                <w:sz w:val="44"/>
                <w:szCs w:val="44"/>
              </w:rPr>
              <w:t xml:space="preserve">CAPABILITY STATEMENT</w:t>
            </w:r>
          </w:p>
          <w:p>
            <w:pPr>
              <w:spacing w:after="1000" w:before="0"/>
              <w:jc w:val="center"/>
            </w:pPr>
            <w:r>
              <w:rPr>
                <w:rFonts w:ascii="Arial" w:cs="Arial" w:eastAsia="Arial" w:hAnsi="Arial"/>
                <w:color w:val="B8C5DB"/>
                <w:spacing w:val="60"/>
                <w:sz w:val="20"/>
                <w:szCs w:val="20"/>
              </w:rPr>
              <w:t xml:space="preserve">2026 EDITION</w:t>
            </w:r>
          </w:p>
          <w:p>
            <w:pPr>
              <w:spacing w:after="80" w:before="0"/>
              <w:jc w:val="center"/>
            </w:pPr>
            <w:r>
              <w:rPr>
                <w:rFonts w:ascii="Georgia" w:cs="Georgia" w:eastAsia="Georgia" w:hAnsi="Georgia"/>
                <w:i/>
                <w:iCs/>
                <w:color w:val="FFFFFF"/>
                <w:sz w:val="32"/>
                <w:szCs w:val="32"/>
              </w:rPr>
              <w:t xml:space="preserve">One Enterprise.</w:t>
            </w:r>
          </w:p>
          <w:p>
            <w:pPr>
              <w:spacing w:after="600" w:before="0"/>
              <w:jc w:val="center"/>
            </w:pPr>
            <w:r>
              <w:rPr>
                <w:rFonts w:ascii="Georgia" w:cs="Georgia" w:eastAsia="Georgia" w:hAnsi="Georgia"/>
                <w:i/>
                <w:iCs/>
                <w:color w:val="C9A84C"/>
                <w:sz w:val="32"/>
                <w:szCs w:val="32"/>
              </w:rPr>
              <w:t xml:space="preserve">Infinite Capability.</w:t>
            </w:r>
          </w:p>
        </w:tc>
      </w:tr>
    </w:tbl>
    <w:p>
      <w:pPr>
        <w:spacing w:before="600"/>
      </w:pPr>
      <w:r>
        <w:t xml:space="preserv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360"/>
        <w:gridCol w:w="3360"/>
        <w:gridCol w:w="3360"/>
      </w:tblGrid>
      <w:tr>
        <w:tc>
          <w:tcPr>
            <w:tcW w:type="dxa" w:w="3360"/>
            <w:tcBorders>
              <w:top w:val="none" w:color="FFFFFF" w:sz="0"/>
              <w:left w:val="none" w:color="FFFFFF" w:sz="0"/>
              <w:bottom w:val="none" w:color="FFFFFF" w:sz="0"/>
              <w:right w:val="none" w:color="FFFFFF" w:sz="0"/>
            </w:tcBorders>
            <w:tcMar>
              <w:top w:type="dxa" w:w="200"/>
              <w:left w:type="dxa" w:w="0"/>
              <w:bottom w:type="dxa" w:w="200"/>
              <w:right w:type="dxa" w:w="240"/>
            </w:tcMar>
            <w:vAlign w:val="top"/>
          </w:tcPr>
          <w:p>
            <w:pPr>
              <w:spacing w:after="60" w:before="0"/>
            </w:pPr>
            <w:r>
              <w:rPr>
                <w:rFonts w:ascii="Arial" w:cs="Arial" w:eastAsia="Arial" w:hAnsi="Arial"/>
                <w:b/>
                <w:bCs/>
                <w:color w:val="C9A84C"/>
                <w:spacing w:val="25"/>
                <w:sz w:val="14"/>
                <w:szCs w:val="14"/>
              </w:rPr>
              <w:t xml:space="preserve">DOCUMENT REFERENCE</w:t>
            </w:r>
          </w:p>
          <w:p>
            <w:pPr>
              <w:spacing w:after="0" w:before="0"/>
            </w:pPr>
            <w:r>
              <w:rPr>
                <w:rFonts w:ascii="Arial" w:cs="Arial" w:eastAsia="Arial" w:hAnsi="Arial"/>
                <w:b/>
                <w:bCs/>
                <w:color w:val="0A1628"/>
                <w:sz w:val="22"/>
                <w:szCs w:val="22"/>
              </w:rPr>
              <w:t xml:space="preserve">VTX-CAP-2026-01</w:t>
            </w:r>
          </w:p>
        </w:tc>
        <w:tc>
          <w:tcPr>
            <w:tcW w:type="dxa" w:w="3360"/>
            <w:tcBorders>
              <w:top w:val="none" w:color="FFFFFF" w:sz="0"/>
              <w:left w:val="none" w:color="FFFFFF" w:sz="0"/>
              <w:bottom w:val="none" w:color="FFFFFF" w:sz="0"/>
              <w:right w:val="none" w:color="FFFFFF" w:sz="0"/>
            </w:tcBorders>
            <w:tcMar>
              <w:top w:type="dxa" w:w="200"/>
              <w:left w:type="dxa" w:w="240"/>
              <w:bottom w:type="dxa" w:w="200"/>
              <w:right w:type="dxa" w:w="240"/>
            </w:tcMar>
            <w:vAlign w:val="top"/>
          </w:tcPr>
          <w:p>
            <w:pPr>
              <w:spacing w:after="60" w:before="0"/>
            </w:pPr>
            <w:r>
              <w:rPr>
                <w:rFonts w:ascii="Arial" w:cs="Arial" w:eastAsia="Arial" w:hAnsi="Arial"/>
                <w:b/>
                <w:bCs/>
                <w:color w:val="C9A84C"/>
                <w:spacing w:val="25"/>
                <w:sz w:val="14"/>
                <w:szCs w:val="14"/>
              </w:rPr>
              <w:t xml:space="preserve">CLASSIFICATION</w:t>
            </w:r>
          </w:p>
          <w:p>
            <w:pPr>
              <w:spacing w:after="0" w:before="0"/>
            </w:pPr>
            <w:r>
              <w:rPr>
                <w:rFonts w:ascii="Arial" w:cs="Arial" w:eastAsia="Arial" w:hAnsi="Arial"/>
                <w:b/>
                <w:bCs/>
                <w:color w:val="0A1628"/>
                <w:sz w:val="22"/>
                <w:szCs w:val="22"/>
              </w:rPr>
              <w:t xml:space="preserve">Public · Distribution Approved</w:t>
            </w:r>
          </w:p>
        </w:tc>
        <w:tc>
          <w:tcPr>
            <w:tcW w:type="dxa" w:w="3360"/>
            <w:tcBorders>
              <w:top w:val="none" w:color="FFFFFF" w:sz="0"/>
              <w:left w:val="none" w:color="FFFFFF" w:sz="0"/>
              <w:bottom w:val="none" w:color="FFFFFF" w:sz="0"/>
              <w:right w:val="none" w:color="FFFFFF" w:sz="0"/>
            </w:tcBorders>
            <w:tcMar>
              <w:top w:type="dxa" w:w="200"/>
              <w:left w:type="dxa" w:w="240"/>
              <w:bottom w:type="dxa" w:w="200"/>
              <w:right w:type="dxa" w:w="240"/>
            </w:tcMar>
            <w:vAlign w:val="top"/>
          </w:tcPr>
          <w:p>
            <w:pPr>
              <w:spacing w:after="60" w:before="0"/>
            </w:pPr>
            <w:r>
              <w:rPr>
                <w:rFonts w:ascii="Arial" w:cs="Arial" w:eastAsia="Arial" w:hAnsi="Arial"/>
                <w:b/>
                <w:bCs/>
                <w:color w:val="C9A84C"/>
                <w:spacing w:val="25"/>
                <w:sz w:val="14"/>
                <w:szCs w:val="14"/>
              </w:rPr>
              <w:t xml:space="preserve">ISSUE DATE</w:t>
            </w:r>
          </w:p>
          <w:p>
            <w:pPr>
              <w:spacing w:after="0" w:before="0"/>
            </w:pPr>
            <w:r>
              <w:rPr>
                <w:rFonts w:ascii="Arial" w:cs="Arial" w:eastAsia="Arial" w:hAnsi="Arial"/>
                <w:b/>
                <w:bCs/>
                <w:color w:val="0A1628"/>
                <w:sz w:val="22"/>
                <w:szCs w:val="22"/>
              </w:rPr>
              <w:t xml:space="preserve">30 April 2026</w:t>
            </w:r>
          </w:p>
        </w:tc>
      </w:tr>
    </w:tbl>
    <w:p>
      <w:pPr>
        <w:spacing w:after="0" w:before="600"/>
        <w:jc w:val="center"/>
      </w:pPr>
      <w:r>
        <w:rPr>
          <w:rFonts w:ascii="Arial" w:cs="Arial" w:eastAsia="Arial" w:hAnsi="Arial"/>
          <w:color w:val="6E7A91"/>
          <w:spacing w:val="30"/>
          <w:sz w:val="14"/>
          <w:szCs w:val="14"/>
        </w:rPr>
        <w:t xml:space="preserve">VTX-CAP-2026-01  ·  Rev 1.0  ·  © 2026 Veltrixair Enterprises  ·  All Rights Reserved</w:t>
      </w:r>
    </w:p>
    <w:p>
      <w:pPr>
        <w:sectPr>
          <w:type w:val="nextPage"/>
          <w:pgSz w:w="12240" w:h="15840" w:orient="portrait"/>
          <w:pgMar w:top="1080" w:right="1080" w:bottom="1080" w:left="1080" w:header="708" w:footer="708" w:gutter="0"/>
          <w:pgNumType/>
          <w:docGrid w:linePitch="360"/>
        </w:sectPr>
      </w:pPr>
    </w:p>
    <w:p>
      <w:pPr>
        <w:spacing w:after="60" w:before="0"/>
      </w:pPr>
      <w:r>
        <w:rPr>
          <w:rFonts w:ascii="Arial" w:cs="Arial" w:eastAsia="Arial" w:hAnsi="Arial"/>
          <w:b/>
          <w:bCs/>
          <w:color w:val="003B8E"/>
          <w:spacing w:val="25"/>
          <w:sz w:val="14"/>
          <w:szCs w:val="14"/>
        </w:rPr>
        <w:t xml:space="preserve">DOCUMENT CONTROL</w:t>
      </w:r>
    </w:p>
    <w:p>
      <w:pPr>
        <w:spacing w:after="240" w:before="120"/>
      </w:pPr>
      <w:r>
        <w:rPr>
          <w:rFonts w:ascii="Arial" w:cs="Arial" w:eastAsia="Arial" w:hAnsi="Arial"/>
          <w:b/>
          <w:bCs/>
          <w:color w:val="0A1628"/>
          <w:sz w:val="30"/>
          <w:szCs w:val="30"/>
        </w:rPr>
        <w:t xml:space="preserve">Capability Statement — Document Information</w:t>
      </w:r>
    </w:p>
    <w:p>
      <w:pPr>
        <w:pBdr>
          <w:bottom w:val="single" w:color="C9A84C" w:sz="8" w:space="1"/>
        </w:pBdr>
        <w:spacing w:after="120" w:before="120"/>
      </w:pPr>
      <w:r>
        <w:t xml:space="preserv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200"/>
        <w:gridCol w:w="6880"/>
      </w:tblGrid>
      <w:tr>
        <w:tc>
          <w:tcPr>
            <w:tcW w:type="dxa" w:w="3200"/>
            <w:tcBorders>
              <w:top w:val="single" w:color="D6D9DE" w:sz="4"/>
              <w:left w:val="single" w:color="D6D9DE" w:sz="4"/>
              <w:bottom w:val="single" w:color="D6D9DE" w:sz="4"/>
              <w:right w:val="single" w:color="D6D9DE" w:sz="4"/>
            </w:tcBorders>
            <w:shd w:fill="F4F1E8" w:val="clear"/>
            <w:tcMar>
              <w:top w:type="dxa" w:w="120"/>
              <w:left w:type="dxa" w:w="160"/>
              <w:bottom w:type="dxa" w:w="120"/>
              <w:right w:type="dxa" w:w="160"/>
            </w:tcMar>
            <w:vAlign w:val="top"/>
          </w:tcPr>
          <w:p>
            <w:pPr>
              <w:spacing w:after="120" w:before="0" w:line="300"/>
              <w:jc w:val="left"/>
            </w:pPr>
            <w:r>
              <w:rPr>
                <w:rFonts w:ascii="Arial" w:cs="Arial" w:eastAsia="Arial" w:hAnsi="Arial"/>
                <w:color w:val="0A1628"/>
                <w:sz w:val="20"/>
                <w:szCs w:val="20"/>
              </w:rPr>
              <w:t xml:space="preserve">Document Title</w:t>
            </w:r>
          </w:p>
        </w:tc>
        <w:tc>
          <w:tcPr>
            <w:tcW w:type="dxa" w:w="6880"/>
            <w:tcBorders>
              <w:top w:val="single" w:color="D6D9DE" w:sz="4"/>
              <w:left w:val="single" w:color="D6D9DE" w:sz="4"/>
              <w:bottom w:val="single" w:color="D6D9DE" w:sz="4"/>
              <w:right w:val="single" w:color="D6D9DE" w:sz="4"/>
            </w:tcBorders>
            <w:tcMar>
              <w:top w:type="dxa" w:w="120"/>
              <w:left w:type="dxa" w:w="160"/>
              <w:bottom w:type="dxa" w:w="120"/>
              <w:right w:type="dxa" w:w="160"/>
            </w:tcMar>
            <w:vAlign w:val="top"/>
          </w:tcPr>
          <w:p>
            <w:pPr>
              <w:spacing w:after="120" w:before="0" w:line="300"/>
              <w:jc w:val="left"/>
            </w:pPr>
            <w:r>
              <w:rPr>
                <w:rFonts w:ascii="Arial" w:cs="Arial" w:eastAsia="Arial" w:hAnsi="Arial"/>
                <w:color w:val="3B4A63"/>
                <w:sz w:val="20"/>
                <w:szCs w:val="20"/>
              </w:rPr>
              <w:t xml:space="preserve">Veltrixair Capability Statement — 2026 Edition</w:t>
            </w:r>
          </w:p>
        </w:tc>
      </w:tr>
      <w:tr>
        <w:tc>
          <w:tcPr>
            <w:tcW w:type="dxa" w:w="3200"/>
            <w:tcBorders>
              <w:top w:val="single" w:color="D6D9DE" w:sz="4"/>
              <w:left w:val="single" w:color="D6D9DE" w:sz="4"/>
              <w:bottom w:val="single" w:color="D6D9DE" w:sz="4"/>
              <w:right w:val="single" w:color="D6D9DE" w:sz="4"/>
            </w:tcBorders>
            <w:shd w:fill="F4F1E8" w:val="clear"/>
            <w:tcMar>
              <w:top w:type="dxa" w:w="120"/>
              <w:left w:type="dxa" w:w="160"/>
              <w:bottom w:type="dxa" w:w="120"/>
              <w:right w:type="dxa" w:w="160"/>
            </w:tcMar>
            <w:vAlign w:val="top"/>
          </w:tcPr>
          <w:p>
            <w:pPr>
              <w:spacing w:after="120" w:before="0" w:line="300"/>
              <w:jc w:val="left"/>
            </w:pPr>
            <w:r>
              <w:rPr>
                <w:rFonts w:ascii="Arial" w:cs="Arial" w:eastAsia="Arial" w:hAnsi="Arial"/>
                <w:color w:val="0A1628"/>
                <w:sz w:val="20"/>
                <w:szCs w:val="20"/>
              </w:rPr>
              <w:t xml:space="preserve">Document Reference</w:t>
            </w:r>
          </w:p>
        </w:tc>
        <w:tc>
          <w:tcPr>
            <w:tcW w:type="dxa" w:w="6880"/>
            <w:tcBorders>
              <w:top w:val="single" w:color="D6D9DE" w:sz="4"/>
              <w:left w:val="single" w:color="D6D9DE" w:sz="4"/>
              <w:bottom w:val="single" w:color="D6D9DE" w:sz="4"/>
              <w:right w:val="single" w:color="D6D9DE" w:sz="4"/>
            </w:tcBorders>
            <w:tcMar>
              <w:top w:type="dxa" w:w="120"/>
              <w:left w:type="dxa" w:w="160"/>
              <w:bottom w:type="dxa" w:w="120"/>
              <w:right w:type="dxa" w:w="160"/>
            </w:tcMar>
            <w:vAlign w:val="top"/>
          </w:tcPr>
          <w:p>
            <w:pPr>
              <w:spacing w:after="120" w:before="0" w:line="300"/>
              <w:jc w:val="left"/>
            </w:pPr>
            <w:r>
              <w:rPr>
                <w:rFonts w:ascii="Arial" w:cs="Arial" w:eastAsia="Arial" w:hAnsi="Arial"/>
                <w:color w:val="3B4A63"/>
                <w:sz w:val="20"/>
                <w:szCs w:val="20"/>
              </w:rPr>
              <w:t xml:space="preserve">VTX-CAP-2026-01</w:t>
            </w:r>
          </w:p>
        </w:tc>
      </w:tr>
      <w:tr>
        <w:tc>
          <w:tcPr>
            <w:tcW w:type="dxa" w:w="3200"/>
            <w:tcBorders>
              <w:top w:val="single" w:color="D6D9DE" w:sz="4"/>
              <w:left w:val="single" w:color="D6D9DE" w:sz="4"/>
              <w:bottom w:val="single" w:color="D6D9DE" w:sz="4"/>
              <w:right w:val="single" w:color="D6D9DE" w:sz="4"/>
            </w:tcBorders>
            <w:shd w:fill="F4F1E8" w:val="clear"/>
            <w:tcMar>
              <w:top w:type="dxa" w:w="120"/>
              <w:left w:type="dxa" w:w="160"/>
              <w:bottom w:type="dxa" w:w="120"/>
              <w:right w:type="dxa" w:w="160"/>
            </w:tcMar>
            <w:vAlign w:val="top"/>
          </w:tcPr>
          <w:p>
            <w:pPr>
              <w:spacing w:after="120" w:before="0" w:line="300"/>
              <w:jc w:val="left"/>
            </w:pPr>
            <w:r>
              <w:rPr>
                <w:rFonts w:ascii="Arial" w:cs="Arial" w:eastAsia="Arial" w:hAnsi="Arial"/>
                <w:color w:val="0A1628"/>
                <w:sz w:val="20"/>
                <w:szCs w:val="20"/>
              </w:rPr>
              <w:t xml:space="preserve">Revision</w:t>
            </w:r>
          </w:p>
        </w:tc>
        <w:tc>
          <w:tcPr>
            <w:tcW w:type="dxa" w:w="6880"/>
            <w:tcBorders>
              <w:top w:val="single" w:color="D6D9DE" w:sz="4"/>
              <w:left w:val="single" w:color="D6D9DE" w:sz="4"/>
              <w:bottom w:val="single" w:color="D6D9DE" w:sz="4"/>
              <w:right w:val="single" w:color="D6D9DE" w:sz="4"/>
            </w:tcBorders>
            <w:tcMar>
              <w:top w:type="dxa" w:w="120"/>
              <w:left w:type="dxa" w:w="160"/>
              <w:bottom w:type="dxa" w:w="120"/>
              <w:right w:type="dxa" w:w="160"/>
            </w:tcMar>
            <w:vAlign w:val="top"/>
          </w:tcPr>
          <w:p>
            <w:pPr>
              <w:spacing w:after="120" w:before="0" w:line="300"/>
              <w:jc w:val="left"/>
            </w:pPr>
            <w:r>
              <w:rPr>
                <w:rFonts w:ascii="Arial" w:cs="Arial" w:eastAsia="Arial" w:hAnsi="Arial"/>
                <w:color w:val="3B4A63"/>
                <w:sz w:val="20"/>
                <w:szCs w:val="20"/>
              </w:rPr>
              <w:t xml:space="preserve">Rev 1.0 — Initial issue</w:t>
            </w:r>
          </w:p>
        </w:tc>
      </w:tr>
      <w:tr>
        <w:tc>
          <w:tcPr>
            <w:tcW w:type="dxa" w:w="3200"/>
            <w:tcBorders>
              <w:top w:val="single" w:color="D6D9DE" w:sz="4"/>
              <w:left w:val="single" w:color="D6D9DE" w:sz="4"/>
              <w:bottom w:val="single" w:color="D6D9DE" w:sz="4"/>
              <w:right w:val="single" w:color="D6D9DE" w:sz="4"/>
            </w:tcBorders>
            <w:shd w:fill="F4F1E8" w:val="clear"/>
            <w:tcMar>
              <w:top w:type="dxa" w:w="120"/>
              <w:left w:type="dxa" w:w="160"/>
              <w:bottom w:type="dxa" w:w="120"/>
              <w:right w:type="dxa" w:w="160"/>
            </w:tcMar>
            <w:vAlign w:val="top"/>
          </w:tcPr>
          <w:p>
            <w:pPr>
              <w:spacing w:after="120" w:before="0" w:line="300"/>
              <w:jc w:val="left"/>
            </w:pPr>
            <w:r>
              <w:rPr>
                <w:rFonts w:ascii="Arial" w:cs="Arial" w:eastAsia="Arial" w:hAnsi="Arial"/>
                <w:color w:val="0A1628"/>
                <w:sz w:val="20"/>
                <w:szCs w:val="20"/>
              </w:rPr>
              <w:t xml:space="preserve">Issue Date</w:t>
            </w:r>
          </w:p>
        </w:tc>
        <w:tc>
          <w:tcPr>
            <w:tcW w:type="dxa" w:w="6880"/>
            <w:tcBorders>
              <w:top w:val="single" w:color="D6D9DE" w:sz="4"/>
              <w:left w:val="single" w:color="D6D9DE" w:sz="4"/>
              <w:bottom w:val="single" w:color="D6D9DE" w:sz="4"/>
              <w:right w:val="single" w:color="D6D9DE" w:sz="4"/>
            </w:tcBorders>
            <w:tcMar>
              <w:top w:type="dxa" w:w="120"/>
              <w:left w:type="dxa" w:w="160"/>
              <w:bottom w:type="dxa" w:w="120"/>
              <w:right w:type="dxa" w:w="160"/>
            </w:tcMar>
            <w:vAlign w:val="top"/>
          </w:tcPr>
          <w:p>
            <w:pPr>
              <w:spacing w:after="120" w:before="0" w:line="300"/>
              <w:jc w:val="left"/>
            </w:pPr>
            <w:r>
              <w:rPr>
                <w:rFonts w:ascii="Arial" w:cs="Arial" w:eastAsia="Arial" w:hAnsi="Arial"/>
                <w:color w:val="3B4A63"/>
                <w:sz w:val="20"/>
                <w:szCs w:val="20"/>
              </w:rPr>
              <w:t xml:space="preserve">30 April 2026</w:t>
            </w:r>
          </w:p>
        </w:tc>
      </w:tr>
      <w:tr>
        <w:tc>
          <w:tcPr>
            <w:tcW w:type="dxa" w:w="3200"/>
            <w:tcBorders>
              <w:top w:val="single" w:color="D6D9DE" w:sz="4"/>
              <w:left w:val="single" w:color="D6D9DE" w:sz="4"/>
              <w:bottom w:val="single" w:color="D6D9DE" w:sz="4"/>
              <w:right w:val="single" w:color="D6D9DE" w:sz="4"/>
            </w:tcBorders>
            <w:shd w:fill="F4F1E8" w:val="clear"/>
            <w:tcMar>
              <w:top w:type="dxa" w:w="120"/>
              <w:left w:type="dxa" w:w="160"/>
              <w:bottom w:type="dxa" w:w="120"/>
              <w:right w:type="dxa" w:w="160"/>
            </w:tcMar>
            <w:vAlign w:val="top"/>
          </w:tcPr>
          <w:p>
            <w:pPr>
              <w:spacing w:after="120" w:before="0" w:line="300"/>
              <w:jc w:val="left"/>
            </w:pPr>
            <w:r>
              <w:rPr>
                <w:rFonts w:ascii="Arial" w:cs="Arial" w:eastAsia="Arial" w:hAnsi="Arial"/>
                <w:color w:val="0A1628"/>
                <w:sz w:val="20"/>
                <w:szCs w:val="20"/>
              </w:rPr>
              <w:t xml:space="preserve">Classification</w:t>
            </w:r>
          </w:p>
        </w:tc>
        <w:tc>
          <w:tcPr>
            <w:tcW w:type="dxa" w:w="6880"/>
            <w:tcBorders>
              <w:top w:val="single" w:color="D6D9DE" w:sz="4"/>
              <w:left w:val="single" w:color="D6D9DE" w:sz="4"/>
              <w:bottom w:val="single" w:color="D6D9DE" w:sz="4"/>
              <w:right w:val="single" w:color="D6D9DE" w:sz="4"/>
            </w:tcBorders>
            <w:tcMar>
              <w:top w:type="dxa" w:w="120"/>
              <w:left w:type="dxa" w:w="160"/>
              <w:bottom w:type="dxa" w:w="120"/>
              <w:right w:type="dxa" w:w="160"/>
            </w:tcMar>
            <w:vAlign w:val="top"/>
          </w:tcPr>
          <w:p>
            <w:pPr>
              <w:spacing w:after="120" w:before="0" w:line="300"/>
              <w:jc w:val="left"/>
            </w:pPr>
            <w:r>
              <w:rPr>
                <w:rFonts w:ascii="Arial" w:cs="Arial" w:eastAsia="Arial" w:hAnsi="Arial"/>
                <w:color w:val="3B4A63"/>
                <w:sz w:val="20"/>
                <w:szCs w:val="20"/>
              </w:rPr>
              <w:t xml:space="preserve">Public — Distribution Approved</w:t>
            </w:r>
          </w:p>
        </w:tc>
      </w:tr>
      <w:tr>
        <w:tc>
          <w:tcPr>
            <w:tcW w:type="dxa" w:w="3200"/>
            <w:tcBorders>
              <w:top w:val="single" w:color="D6D9DE" w:sz="4"/>
              <w:left w:val="single" w:color="D6D9DE" w:sz="4"/>
              <w:bottom w:val="single" w:color="D6D9DE" w:sz="4"/>
              <w:right w:val="single" w:color="D6D9DE" w:sz="4"/>
            </w:tcBorders>
            <w:shd w:fill="F4F1E8" w:val="clear"/>
            <w:tcMar>
              <w:top w:type="dxa" w:w="120"/>
              <w:left w:type="dxa" w:w="160"/>
              <w:bottom w:type="dxa" w:w="120"/>
              <w:right w:type="dxa" w:w="160"/>
            </w:tcMar>
            <w:vAlign w:val="top"/>
          </w:tcPr>
          <w:p>
            <w:pPr>
              <w:spacing w:after="120" w:before="0" w:line="300"/>
              <w:jc w:val="left"/>
            </w:pPr>
            <w:r>
              <w:rPr>
                <w:rFonts w:ascii="Arial" w:cs="Arial" w:eastAsia="Arial" w:hAnsi="Arial"/>
                <w:color w:val="0A1628"/>
                <w:sz w:val="20"/>
                <w:szCs w:val="20"/>
              </w:rPr>
              <w:t xml:space="preserve">Issuing Authority</w:t>
            </w:r>
          </w:p>
        </w:tc>
        <w:tc>
          <w:tcPr>
            <w:tcW w:type="dxa" w:w="6880"/>
            <w:tcBorders>
              <w:top w:val="single" w:color="D6D9DE" w:sz="4"/>
              <w:left w:val="single" w:color="D6D9DE" w:sz="4"/>
              <w:bottom w:val="single" w:color="D6D9DE" w:sz="4"/>
              <w:right w:val="single" w:color="D6D9DE" w:sz="4"/>
            </w:tcBorders>
            <w:tcMar>
              <w:top w:type="dxa" w:w="120"/>
              <w:left w:type="dxa" w:w="160"/>
              <w:bottom w:type="dxa" w:w="120"/>
              <w:right w:type="dxa" w:w="160"/>
            </w:tcMar>
            <w:vAlign w:val="top"/>
          </w:tcPr>
          <w:p>
            <w:pPr>
              <w:spacing w:after="120" w:before="0" w:line="300"/>
              <w:jc w:val="left"/>
            </w:pPr>
            <w:r>
              <w:rPr>
                <w:rFonts w:ascii="Arial" w:cs="Arial" w:eastAsia="Arial" w:hAnsi="Arial"/>
                <w:color w:val="3B4A63"/>
                <w:sz w:val="20"/>
                <w:szCs w:val="20"/>
              </w:rPr>
              <w:t xml:space="preserve">Office of the Chairman, Veltrixair Enterprises</w:t>
            </w:r>
          </w:p>
        </w:tc>
      </w:tr>
      <w:tr>
        <w:tc>
          <w:tcPr>
            <w:tcW w:type="dxa" w:w="3200"/>
            <w:tcBorders>
              <w:top w:val="single" w:color="D6D9DE" w:sz="4"/>
              <w:left w:val="single" w:color="D6D9DE" w:sz="4"/>
              <w:bottom w:val="single" w:color="D6D9DE" w:sz="4"/>
              <w:right w:val="single" w:color="D6D9DE" w:sz="4"/>
            </w:tcBorders>
            <w:shd w:fill="F4F1E8" w:val="clear"/>
            <w:tcMar>
              <w:top w:type="dxa" w:w="120"/>
              <w:left w:type="dxa" w:w="160"/>
              <w:bottom w:type="dxa" w:w="120"/>
              <w:right w:type="dxa" w:w="160"/>
            </w:tcMar>
            <w:vAlign w:val="top"/>
          </w:tcPr>
          <w:p>
            <w:pPr>
              <w:spacing w:after="120" w:before="0" w:line="300"/>
              <w:jc w:val="left"/>
            </w:pPr>
            <w:r>
              <w:rPr>
                <w:rFonts w:ascii="Arial" w:cs="Arial" w:eastAsia="Arial" w:hAnsi="Arial"/>
                <w:color w:val="0A1628"/>
                <w:sz w:val="20"/>
                <w:szCs w:val="20"/>
              </w:rPr>
              <w:t xml:space="preserve">Approved By</w:t>
            </w:r>
          </w:p>
        </w:tc>
        <w:tc>
          <w:tcPr>
            <w:tcW w:type="dxa" w:w="6880"/>
            <w:tcBorders>
              <w:top w:val="single" w:color="D6D9DE" w:sz="4"/>
              <w:left w:val="single" w:color="D6D9DE" w:sz="4"/>
              <w:bottom w:val="single" w:color="D6D9DE" w:sz="4"/>
              <w:right w:val="single" w:color="D6D9DE" w:sz="4"/>
            </w:tcBorders>
            <w:tcMar>
              <w:top w:type="dxa" w:w="120"/>
              <w:left w:type="dxa" w:w="160"/>
              <w:bottom w:type="dxa" w:w="120"/>
              <w:right w:type="dxa" w:w="160"/>
            </w:tcMar>
            <w:vAlign w:val="top"/>
          </w:tcPr>
          <w:p>
            <w:pPr>
              <w:spacing w:after="120" w:before="0" w:line="300"/>
              <w:jc w:val="left"/>
            </w:pPr>
            <w:r>
              <w:rPr>
                <w:rFonts w:ascii="Arial" w:cs="Arial" w:eastAsia="Arial" w:hAnsi="Arial"/>
                <w:color w:val="3B4A63"/>
                <w:sz w:val="20"/>
                <w:szCs w:val="20"/>
              </w:rPr>
              <w:t xml:space="preserve">Chief Executive Officer · Chief Operating Officer</w:t>
            </w:r>
          </w:p>
        </w:tc>
      </w:tr>
      <w:tr>
        <w:tc>
          <w:tcPr>
            <w:tcW w:type="dxa" w:w="3200"/>
            <w:tcBorders>
              <w:top w:val="single" w:color="D6D9DE" w:sz="4"/>
              <w:left w:val="single" w:color="D6D9DE" w:sz="4"/>
              <w:bottom w:val="single" w:color="D6D9DE" w:sz="4"/>
              <w:right w:val="single" w:color="D6D9DE" w:sz="4"/>
            </w:tcBorders>
            <w:shd w:fill="F4F1E8" w:val="clear"/>
            <w:tcMar>
              <w:top w:type="dxa" w:w="120"/>
              <w:left w:type="dxa" w:w="160"/>
              <w:bottom w:type="dxa" w:w="120"/>
              <w:right w:type="dxa" w:w="160"/>
            </w:tcMar>
            <w:vAlign w:val="top"/>
          </w:tcPr>
          <w:p>
            <w:pPr>
              <w:spacing w:after="120" w:before="0" w:line="300"/>
              <w:jc w:val="left"/>
            </w:pPr>
            <w:r>
              <w:rPr>
                <w:rFonts w:ascii="Arial" w:cs="Arial" w:eastAsia="Arial" w:hAnsi="Arial"/>
                <w:color w:val="0A1628"/>
                <w:sz w:val="20"/>
                <w:szCs w:val="20"/>
              </w:rPr>
              <w:t xml:space="preserve">Custodian</w:t>
            </w:r>
          </w:p>
        </w:tc>
        <w:tc>
          <w:tcPr>
            <w:tcW w:type="dxa" w:w="6880"/>
            <w:tcBorders>
              <w:top w:val="single" w:color="D6D9DE" w:sz="4"/>
              <w:left w:val="single" w:color="D6D9DE" w:sz="4"/>
              <w:bottom w:val="single" w:color="D6D9DE" w:sz="4"/>
              <w:right w:val="single" w:color="D6D9DE" w:sz="4"/>
            </w:tcBorders>
            <w:tcMar>
              <w:top w:type="dxa" w:w="120"/>
              <w:left w:type="dxa" w:w="160"/>
              <w:bottom w:type="dxa" w:w="120"/>
              <w:right w:type="dxa" w:w="160"/>
            </w:tcMar>
            <w:vAlign w:val="top"/>
          </w:tcPr>
          <w:p>
            <w:pPr>
              <w:spacing w:after="120" w:before="0" w:line="300"/>
              <w:jc w:val="left"/>
            </w:pPr>
            <w:r>
              <w:rPr>
                <w:rFonts w:ascii="Arial" w:cs="Arial" w:eastAsia="Arial" w:hAnsi="Arial"/>
                <w:color w:val="3B4A63"/>
                <w:sz w:val="20"/>
                <w:szCs w:val="20"/>
              </w:rPr>
              <w:t xml:space="preserve">Office of the Chairman &amp; CFO</w:t>
            </w:r>
          </w:p>
        </w:tc>
      </w:tr>
      <w:tr>
        <w:tc>
          <w:tcPr>
            <w:tcW w:type="dxa" w:w="3200"/>
            <w:tcBorders>
              <w:top w:val="single" w:color="D6D9DE" w:sz="4"/>
              <w:left w:val="single" w:color="D6D9DE" w:sz="4"/>
              <w:bottom w:val="single" w:color="D6D9DE" w:sz="4"/>
              <w:right w:val="single" w:color="D6D9DE" w:sz="4"/>
            </w:tcBorders>
            <w:shd w:fill="F4F1E8" w:val="clear"/>
            <w:tcMar>
              <w:top w:type="dxa" w:w="120"/>
              <w:left w:type="dxa" w:w="160"/>
              <w:bottom w:type="dxa" w:w="120"/>
              <w:right w:type="dxa" w:w="160"/>
            </w:tcMar>
            <w:vAlign w:val="top"/>
          </w:tcPr>
          <w:p>
            <w:pPr>
              <w:spacing w:after="120" w:before="0" w:line="300"/>
              <w:jc w:val="left"/>
            </w:pPr>
            <w:r>
              <w:rPr>
                <w:rFonts w:ascii="Arial" w:cs="Arial" w:eastAsia="Arial" w:hAnsi="Arial"/>
                <w:color w:val="0A1628"/>
                <w:sz w:val="20"/>
                <w:szCs w:val="20"/>
              </w:rPr>
              <w:t xml:space="preserve">Next Review</w:t>
            </w:r>
          </w:p>
        </w:tc>
        <w:tc>
          <w:tcPr>
            <w:tcW w:type="dxa" w:w="6880"/>
            <w:tcBorders>
              <w:top w:val="single" w:color="D6D9DE" w:sz="4"/>
              <w:left w:val="single" w:color="D6D9DE" w:sz="4"/>
              <w:bottom w:val="single" w:color="D6D9DE" w:sz="4"/>
              <w:right w:val="single" w:color="D6D9DE" w:sz="4"/>
            </w:tcBorders>
            <w:tcMar>
              <w:top w:type="dxa" w:w="120"/>
              <w:left w:type="dxa" w:w="160"/>
              <w:bottom w:type="dxa" w:w="120"/>
              <w:right w:type="dxa" w:w="160"/>
            </w:tcMar>
            <w:vAlign w:val="top"/>
          </w:tcPr>
          <w:p>
            <w:pPr>
              <w:spacing w:after="120" w:before="0" w:line="300"/>
              <w:jc w:val="left"/>
            </w:pPr>
            <w:r>
              <w:rPr>
                <w:rFonts w:ascii="Arial" w:cs="Arial" w:eastAsia="Arial" w:hAnsi="Arial"/>
                <w:color w:val="3B4A63"/>
                <w:sz w:val="20"/>
                <w:szCs w:val="20"/>
              </w:rPr>
              <w:t xml:space="preserve">30 April 2027 (annual)</w:t>
            </w:r>
          </w:p>
        </w:tc>
      </w:tr>
      <w:tr>
        <w:tc>
          <w:tcPr>
            <w:tcW w:type="dxa" w:w="3200"/>
            <w:tcBorders>
              <w:top w:val="single" w:color="D6D9DE" w:sz="4"/>
              <w:left w:val="single" w:color="D6D9DE" w:sz="4"/>
              <w:bottom w:val="single" w:color="D6D9DE" w:sz="4"/>
              <w:right w:val="single" w:color="D6D9DE" w:sz="4"/>
            </w:tcBorders>
            <w:shd w:fill="F4F1E8" w:val="clear"/>
            <w:tcMar>
              <w:top w:type="dxa" w:w="120"/>
              <w:left w:type="dxa" w:w="160"/>
              <w:bottom w:type="dxa" w:w="120"/>
              <w:right w:type="dxa" w:w="160"/>
            </w:tcMar>
            <w:vAlign w:val="top"/>
          </w:tcPr>
          <w:p>
            <w:pPr>
              <w:spacing w:after="120" w:before="0" w:line="300"/>
              <w:jc w:val="left"/>
            </w:pPr>
            <w:r>
              <w:rPr>
                <w:rFonts w:ascii="Arial" w:cs="Arial" w:eastAsia="Arial" w:hAnsi="Arial"/>
                <w:color w:val="0A1628"/>
                <w:sz w:val="20"/>
                <w:szCs w:val="20"/>
              </w:rPr>
              <w:t xml:space="preserve">Distribution</w:t>
            </w:r>
          </w:p>
        </w:tc>
        <w:tc>
          <w:tcPr>
            <w:tcW w:type="dxa" w:w="6880"/>
            <w:tcBorders>
              <w:top w:val="single" w:color="D6D9DE" w:sz="4"/>
              <w:left w:val="single" w:color="D6D9DE" w:sz="4"/>
              <w:bottom w:val="single" w:color="D6D9DE" w:sz="4"/>
              <w:right w:val="single" w:color="D6D9DE" w:sz="4"/>
            </w:tcBorders>
            <w:tcMar>
              <w:top w:type="dxa" w:w="120"/>
              <w:left w:type="dxa" w:w="160"/>
              <w:bottom w:type="dxa" w:w="120"/>
              <w:right w:type="dxa" w:w="160"/>
            </w:tcMar>
            <w:vAlign w:val="top"/>
          </w:tcPr>
          <w:p>
            <w:pPr>
              <w:spacing w:after="120" w:before="0" w:line="300"/>
              <w:jc w:val="left"/>
            </w:pPr>
            <w:r>
              <w:rPr>
                <w:rFonts w:ascii="Arial" w:cs="Arial" w:eastAsia="Arial" w:hAnsi="Arial"/>
                <w:color w:val="3B4A63"/>
                <w:sz w:val="20"/>
                <w:szCs w:val="20"/>
              </w:rPr>
              <w:t xml:space="preserve">Public — available for download from veltrixair.com and on request</w:t>
            </w:r>
          </w:p>
        </w:tc>
      </w:tr>
    </w:tbl>
    <w:p>
      <w:pPr>
        <w:pStyle w:val="Heading2"/>
        <w:spacing w:after="120" w:before="320"/>
      </w:pPr>
      <w:r>
        <w:rPr>
          <w:rFonts w:ascii="Arial" w:cs="Arial" w:eastAsia="Arial" w:hAnsi="Arial"/>
          <w:b/>
          <w:bCs/>
          <w:color w:val="0A1628"/>
          <w:sz w:val="24"/>
          <w:szCs w:val="24"/>
        </w:rPr>
        <w:t xml:space="preserve">Source Documents Referenced</w:t>
      </w:r>
    </w:p>
    <w:p>
      <w:pPr>
        <w:spacing w:after="180" w:before="0" w:line="300"/>
        <w:jc w:val="left"/>
      </w:pPr>
      <w:r>
        <w:rPr>
          <w:rFonts w:ascii="Arial" w:cs="Arial" w:eastAsia="Arial" w:hAnsi="Arial"/>
          <w:color w:val="3B4A63"/>
          <w:sz w:val="20"/>
          <w:szCs w:val="20"/>
        </w:rPr>
        <w:t xml:space="preserve">This Capability Statement is informed by, and consistent with, the following internal source documents:</w:t>
      </w:r>
    </w:p>
    <w:p>
      <w:pPr>
        <w:pStyle w:val="ListParagraph"/>
        <w:numPr>
          <w:ilvl w:val="0"/>
          <w:numId w:val="2"/>
        </w:numPr>
        <w:spacing w:after="60" w:before="30" w:line="280"/>
      </w:pPr>
      <w:r>
        <w:rPr>
          <w:rFonts w:ascii="Arial" w:cs="Arial" w:eastAsia="Arial" w:hAnsi="Arial"/>
          <w:color w:val="3B4A63"/>
          <w:sz w:val="20"/>
          <w:szCs w:val="20"/>
        </w:rPr>
        <w:t xml:space="preserve">VA-PP-P-01 Rev 0 — Veltrixair Purpose &amp; Business Principles (01 February 2026)</w:t>
      </w:r>
    </w:p>
    <w:p>
      <w:pPr>
        <w:pStyle w:val="ListParagraph"/>
        <w:numPr>
          <w:ilvl w:val="0"/>
          <w:numId w:val="2"/>
        </w:numPr>
        <w:spacing w:after="60" w:before="30" w:line="280"/>
      </w:pPr>
      <w:r>
        <w:rPr>
          <w:rFonts w:ascii="Arial" w:cs="Arial" w:eastAsia="Arial" w:hAnsi="Arial"/>
          <w:color w:val="3B4A63"/>
          <w:sz w:val="20"/>
          <w:szCs w:val="20"/>
        </w:rPr>
        <w:t xml:space="preserve">VTX-MAND series — C-Suite and Director-level mandates (Phase 01)</w:t>
      </w:r>
    </w:p>
    <w:p>
      <w:pPr>
        <w:pStyle w:val="ListParagraph"/>
        <w:numPr>
          <w:ilvl w:val="0"/>
          <w:numId w:val="2"/>
        </w:numPr>
        <w:spacing w:after="60" w:before="30" w:line="280"/>
      </w:pPr>
      <w:r>
        <w:rPr>
          <w:rFonts w:ascii="Arial" w:cs="Arial" w:eastAsia="Arial" w:hAnsi="Arial"/>
          <w:color w:val="3B4A63"/>
          <w:sz w:val="20"/>
          <w:szCs w:val="20"/>
        </w:rPr>
        <w:t xml:space="preserve">VTX-AAI-RFP-2026-01 — Agentic AI Reference RFP architecture</w:t>
      </w:r>
    </w:p>
    <w:p>
      <w:pPr>
        <w:pStyle w:val="ListParagraph"/>
        <w:numPr>
          <w:ilvl w:val="0"/>
          <w:numId w:val="2"/>
        </w:numPr>
        <w:spacing w:after="60" w:before="30" w:line="280"/>
      </w:pPr>
      <w:r>
        <w:rPr>
          <w:rFonts w:ascii="Arial" w:cs="Arial" w:eastAsia="Arial" w:hAnsi="Arial"/>
          <w:color w:val="3B4A63"/>
          <w:sz w:val="20"/>
          <w:szCs w:val="20"/>
        </w:rPr>
        <w:t xml:space="preserve">VTX-ERP-RFP-2026-01 — ERP Reference RFP architecture</w:t>
      </w:r>
    </w:p>
    <w:p>
      <w:pPr>
        <w:pStyle w:val="ListParagraph"/>
        <w:numPr>
          <w:ilvl w:val="0"/>
          <w:numId w:val="2"/>
        </w:numPr>
        <w:spacing w:after="60" w:before="30" w:line="280"/>
      </w:pPr>
      <w:r>
        <w:rPr>
          <w:rFonts w:ascii="Arial" w:cs="Arial" w:eastAsia="Arial" w:hAnsi="Arial"/>
          <w:color w:val="3B4A63"/>
          <w:sz w:val="20"/>
          <w:szCs w:val="20"/>
        </w:rPr>
        <w:t xml:space="preserve">VTX-BRD Template — Business Requirements Document standard</w:t>
      </w:r>
    </w:p>
    <w:p>
      <w:pPr>
        <w:pStyle w:val="Heading2"/>
        <w:spacing w:after="120" w:before="320"/>
      </w:pPr>
      <w:r>
        <w:rPr>
          <w:rFonts w:ascii="Arial" w:cs="Arial" w:eastAsia="Arial" w:hAnsi="Arial"/>
          <w:b/>
          <w:bCs/>
          <w:color w:val="0A1628"/>
          <w:sz w:val="24"/>
          <w:szCs w:val="24"/>
        </w:rPr>
        <w:t xml:space="preserve">Use &amp; Reproduction</w:t>
      </w:r>
    </w:p>
    <w:p>
      <w:pPr>
        <w:spacing w:after="180" w:before="0" w:line="300"/>
        <w:jc w:val="left"/>
      </w:pPr>
      <w:r>
        <w:rPr>
          <w:rFonts w:ascii="Arial" w:cs="Arial" w:eastAsia="Arial" w:hAnsi="Arial"/>
          <w:color w:val="3B4A63"/>
          <w:sz w:val="20"/>
          <w:szCs w:val="20"/>
        </w:rPr>
        <w:t xml:space="preserve">This document is provided for use in client evaluations, vendor registrations, and procurement processes. It may be reproduced in full or in part for these purposes, with attribution. Confidential matters not appearing in this document — engagement specifics, named references, commercials — are available under NDA on request.</w:t>
      </w:r>
    </w:p>
    <w:p>
      <w:pPr>
        <w:spacing w:after="120" w:before="0" w:line="300"/>
        <w:jc w:val="left"/>
      </w:pPr>
      <w:r>
        <w:rPr>
          <w:rFonts w:ascii="Arial" w:cs="Arial" w:eastAsia="Arial" w:hAnsi="Arial"/>
          <w:color w:val="3B4A63"/>
          <w:sz w:val="20"/>
          <w:szCs w:val="20"/>
        </w:rPr>
        <w:t xml:space="preserve">Latest version: </w:t>
      </w:r>
      <w:r>
        <w:rPr>
          <w:rFonts w:ascii="Arial" w:cs="Arial" w:eastAsia="Arial" w:hAnsi="Arial"/>
          <w:b/>
          <w:bCs/>
          <w:color w:val="003B8E"/>
          <w:sz w:val="20"/>
          <w:szCs w:val="20"/>
        </w:rPr>
        <w:t xml:space="preserve">veltrixair.com/capability-statement</w:t>
      </w:r>
    </w:p>
    <w:p>
      <w:pPr>
        <w:pageBreakBefore/>
        <w:spacing w:after="60" w:before="0"/>
      </w:pPr>
      <w:r>
        <w:rPr>
          <w:rFonts w:ascii="Arial" w:cs="Arial" w:eastAsia="Arial" w:hAnsi="Arial"/>
          <w:b/>
          <w:bCs/>
          <w:color w:val="003B8E"/>
          <w:spacing w:val="25"/>
          <w:sz w:val="14"/>
          <w:szCs w:val="14"/>
        </w:rPr>
        <w:t xml:space="preserve">CONTENTS</w:t>
      </w:r>
    </w:p>
    <w:p>
      <w:pPr>
        <w:spacing w:after="240" w:before="120"/>
      </w:pPr>
      <w:r>
        <w:rPr>
          <w:rFonts w:ascii="Arial" w:cs="Arial" w:eastAsia="Arial" w:hAnsi="Arial"/>
          <w:b/>
          <w:bCs/>
          <w:color w:val="0A1628"/>
          <w:sz w:val="36"/>
          <w:szCs w:val="36"/>
        </w:rPr>
        <w:t xml:space="preserve">Table of Contents</w:t>
      </w:r>
    </w:p>
    <w:p>
      <w:pPr>
        <w:pBdr>
          <w:bottom w:val="single" w:color="C9A84C" w:sz="8" w:space="1"/>
        </w:pBdr>
        <w:spacing w:after="120" w:before="120"/>
      </w:pPr>
      <w:r>
        <w:t xml:space="preserve"/>
      </w:r>
    </w:p>
    <w:p>
      <w:pPr>
        <w:tabs>
          <w:tab w:val="right" w:pos="9880"/>
        </w:tabs>
        <w:spacing w:after="60" w:before="100"/>
      </w:pPr>
      <w:r>
        <w:rPr>
          <w:rFonts w:ascii="Arial" w:cs="Arial" w:eastAsia="Arial" w:hAnsi="Arial"/>
          <w:b/>
          <w:bCs/>
          <w:color w:val="C9A84C"/>
          <w:sz w:val="18"/>
          <w:szCs w:val="18"/>
        </w:rPr>
        <w:t xml:space="preserve">01</w:t>
      </w:r>
      <w:r>
        <w:rPr>
          <w:rFonts w:ascii="Arial" w:cs="Arial" w:eastAsia="Arial" w:hAnsi="Arial"/>
          <w:color w:val="0A1628"/>
          <w:sz w:val="22"/>
          <w:szCs w:val="22"/>
        </w:rPr>
        <w:t xml:space="preserve">   Executive Summary</w:t>
      </w:r>
      <w:r>
        <w:rPr>
          <w:rFonts w:ascii="Arial" w:cs="Arial" w:eastAsia="Arial" w:hAnsi="Arial"/>
          <w:color w:val="6E7A91"/>
          <w:sz w:val="18"/>
          <w:szCs w:val="18"/>
        </w:rPr>
        <w:t xml:space="preserve">	4</w:t>
      </w:r>
    </w:p>
    <w:p>
      <w:pPr>
        <w:tabs>
          <w:tab w:val="right" w:pos="9880"/>
        </w:tabs>
        <w:spacing w:after="60" w:before="100"/>
      </w:pPr>
      <w:r>
        <w:rPr>
          <w:rFonts w:ascii="Arial" w:cs="Arial" w:eastAsia="Arial" w:hAnsi="Arial"/>
          <w:b/>
          <w:bCs/>
          <w:color w:val="C9A84C"/>
          <w:sz w:val="18"/>
          <w:szCs w:val="18"/>
        </w:rPr>
        <w:t xml:space="preserve">02</w:t>
      </w:r>
      <w:r>
        <w:rPr>
          <w:rFonts w:ascii="Arial" w:cs="Arial" w:eastAsia="Arial" w:hAnsi="Arial"/>
          <w:color w:val="0A1628"/>
          <w:sz w:val="22"/>
          <w:szCs w:val="22"/>
        </w:rPr>
        <w:t xml:space="preserve">   About Veltrixair</w:t>
      </w:r>
      <w:r>
        <w:rPr>
          <w:rFonts w:ascii="Arial" w:cs="Arial" w:eastAsia="Arial" w:hAnsi="Arial"/>
          <w:color w:val="6E7A91"/>
          <w:sz w:val="18"/>
          <w:szCs w:val="18"/>
        </w:rPr>
        <w:t xml:space="preserve">	5</w:t>
      </w:r>
    </w:p>
    <w:p>
      <w:pPr>
        <w:tabs>
          <w:tab w:val="right" w:pos="9880"/>
        </w:tabs>
        <w:spacing w:after="60" w:before="100"/>
      </w:pPr>
      <w:r>
        <w:rPr>
          <w:rFonts w:ascii="Arial" w:cs="Arial" w:eastAsia="Arial" w:hAnsi="Arial"/>
          <w:b/>
          <w:bCs/>
          <w:color w:val="C9A84C"/>
          <w:sz w:val="18"/>
          <w:szCs w:val="18"/>
        </w:rPr>
        <w:t xml:space="preserve">03</w:t>
      </w:r>
      <w:r>
        <w:rPr>
          <w:rFonts w:ascii="Arial" w:cs="Arial" w:eastAsia="Arial" w:hAnsi="Arial"/>
          <w:color w:val="0A1628"/>
          <w:sz w:val="22"/>
          <w:szCs w:val="22"/>
        </w:rPr>
        <w:t xml:space="preserve">   Purpose, Mission &amp; Values</w:t>
      </w:r>
      <w:r>
        <w:rPr>
          <w:rFonts w:ascii="Arial" w:cs="Arial" w:eastAsia="Arial" w:hAnsi="Arial"/>
          <w:color w:val="6E7A91"/>
          <w:sz w:val="18"/>
          <w:szCs w:val="18"/>
        </w:rPr>
        <w:t xml:space="preserve">	6</w:t>
      </w:r>
    </w:p>
    <w:p>
      <w:pPr>
        <w:tabs>
          <w:tab w:val="right" w:pos="9880"/>
        </w:tabs>
        <w:spacing w:after="60" w:before="100"/>
      </w:pPr>
      <w:r>
        <w:rPr>
          <w:rFonts w:ascii="Arial" w:cs="Arial" w:eastAsia="Arial" w:hAnsi="Arial"/>
          <w:b/>
          <w:bCs/>
          <w:color w:val="C9A84C"/>
          <w:sz w:val="18"/>
          <w:szCs w:val="18"/>
        </w:rPr>
        <w:t xml:space="preserve">04</w:t>
      </w:r>
      <w:r>
        <w:rPr>
          <w:rFonts w:ascii="Arial" w:cs="Arial" w:eastAsia="Arial" w:hAnsi="Arial"/>
          <w:color w:val="0A1628"/>
          <w:sz w:val="22"/>
          <w:szCs w:val="22"/>
        </w:rPr>
        <w:t xml:space="preserve">   Service Capabilities</w:t>
      </w:r>
      <w:r>
        <w:rPr>
          <w:rFonts w:ascii="Arial" w:cs="Arial" w:eastAsia="Arial" w:hAnsi="Arial"/>
          <w:color w:val="6E7A91"/>
          <w:sz w:val="18"/>
          <w:szCs w:val="18"/>
        </w:rPr>
        <w:t xml:space="preserve">	7</w:t>
      </w:r>
    </w:p>
    <w:p>
      <w:pPr>
        <w:tabs>
          <w:tab w:val="right" w:pos="9880"/>
        </w:tabs>
        <w:spacing w:after="60" w:before="100"/>
      </w:pPr>
      <w:r>
        <w:rPr>
          <w:rFonts w:ascii="Arial" w:cs="Arial" w:eastAsia="Arial" w:hAnsi="Arial"/>
          <w:b/>
          <w:bCs/>
          <w:color w:val="C9A84C"/>
          <w:sz w:val="18"/>
          <w:szCs w:val="18"/>
        </w:rPr>
        <w:t xml:space="preserve">05</w:t>
      </w:r>
      <w:r>
        <w:rPr>
          <w:rFonts w:ascii="Arial" w:cs="Arial" w:eastAsia="Arial" w:hAnsi="Arial"/>
          <w:color w:val="0A1628"/>
          <w:sz w:val="22"/>
          <w:szCs w:val="22"/>
        </w:rPr>
        <w:t xml:space="preserve">   EolasFlow Voice AI Solution</w:t>
      </w:r>
      <w:r>
        <w:rPr>
          <w:rFonts w:ascii="Arial" w:cs="Arial" w:eastAsia="Arial" w:hAnsi="Arial"/>
          <w:color w:val="6E7A91"/>
          <w:sz w:val="18"/>
          <w:szCs w:val="18"/>
        </w:rPr>
        <w:t xml:space="preserve">	10</w:t>
      </w:r>
    </w:p>
    <w:p>
      <w:pPr>
        <w:tabs>
          <w:tab w:val="right" w:pos="9880"/>
        </w:tabs>
        <w:spacing w:after="60" w:before="100"/>
      </w:pPr>
      <w:r>
        <w:rPr>
          <w:rFonts w:ascii="Arial" w:cs="Arial" w:eastAsia="Arial" w:hAnsi="Arial"/>
          <w:b/>
          <w:bCs/>
          <w:color w:val="C9A84C"/>
          <w:sz w:val="18"/>
          <w:szCs w:val="18"/>
        </w:rPr>
        <w:t xml:space="preserve">06</w:t>
      </w:r>
      <w:r>
        <w:rPr>
          <w:rFonts w:ascii="Arial" w:cs="Arial" w:eastAsia="Arial" w:hAnsi="Arial"/>
          <w:color w:val="0A1628"/>
          <w:sz w:val="22"/>
          <w:szCs w:val="22"/>
        </w:rPr>
        <w:t xml:space="preserve">   Industries Served</w:t>
      </w:r>
      <w:r>
        <w:rPr>
          <w:rFonts w:ascii="Arial" w:cs="Arial" w:eastAsia="Arial" w:hAnsi="Arial"/>
          <w:color w:val="6E7A91"/>
          <w:sz w:val="18"/>
          <w:szCs w:val="18"/>
        </w:rPr>
        <w:t xml:space="preserve">	11</w:t>
      </w:r>
    </w:p>
    <w:p>
      <w:pPr>
        <w:tabs>
          <w:tab w:val="right" w:pos="9880"/>
        </w:tabs>
        <w:spacing w:after="60" w:before="100"/>
      </w:pPr>
      <w:r>
        <w:rPr>
          <w:rFonts w:ascii="Arial" w:cs="Arial" w:eastAsia="Arial" w:hAnsi="Arial"/>
          <w:b/>
          <w:bCs/>
          <w:color w:val="C9A84C"/>
          <w:sz w:val="18"/>
          <w:szCs w:val="18"/>
        </w:rPr>
        <w:t xml:space="preserve">07</w:t>
      </w:r>
      <w:r>
        <w:rPr>
          <w:rFonts w:ascii="Arial" w:cs="Arial" w:eastAsia="Arial" w:hAnsi="Arial"/>
          <w:color w:val="0A1628"/>
          <w:sz w:val="22"/>
          <w:szCs w:val="22"/>
        </w:rPr>
        <w:t xml:space="preserve">   Geographic Presence</w:t>
      </w:r>
      <w:r>
        <w:rPr>
          <w:rFonts w:ascii="Arial" w:cs="Arial" w:eastAsia="Arial" w:hAnsi="Arial"/>
          <w:color w:val="6E7A91"/>
          <w:sz w:val="18"/>
          <w:szCs w:val="18"/>
        </w:rPr>
        <w:t xml:space="preserve">	12</w:t>
      </w:r>
    </w:p>
    <w:p>
      <w:pPr>
        <w:tabs>
          <w:tab w:val="right" w:pos="9880"/>
        </w:tabs>
        <w:spacing w:after="60" w:before="100"/>
      </w:pPr>
      <w:r>
        <w:rPr>
          <w:rFonts w:ascii="Arial" w:cs="Arial" w:eastAsia="Arial" w:hAnsi="Arial"/>
          <w:b/>
          <w:bCs/>
          <w:color w:val="C9A84C"/>
          <w:sz w:val="18"/>
          <w:szCs w:val="18"/>
        </w:rPr>
        <w:t xml:space="preserve">08</w:t>
      </w:r>
      <w:r>
        <w:rPr>
          <w:rFonts w:ascii="Arial" w:cs="Arial" w:eastAsia="Arial" w:hAnsi="Arial"/>
          <w:color w:val="0A1628"/>
          <w:sz w:val="22"/>
          <w:szCs w:val="22"/>
        </w:rPr>
        <w:t xml:space="preserve">   Engagement Models</w:t>
      </w:r>
      <w:r>
        <w:rPr>
          <w:rFonts w:ascii="Arial" w:cs="Arial" w:eastAsia="Arial" w:hAnsi="Arial"/>
          <w:color w:val="6E7A91"/>
          <w:sz w:val="18"/>
          <w:szCs w:val="18"/>
        </w:rPr>
        <w:t xml:space="preserve">	13</w:t>
      </w:r>
    </w:p>
    <w:p>
      <w:pPr>
        <w:tabs>
          <w:tab w:val="right" w:pos="9880"/>
        </w:tabs>
        <w:spacing w:after="60" w:before="100"/>
      </w:pPr>
      <w:r>
        <w:rPr>
          <w:rFonts w:ascii="Arial" w:cs="Arial" w:eastAsia="Arial" w:hAnsi="Arial"/>
          <w:b/>
          <w:bCs/>
          <w:color w:val="C9A84C"/>
          <w:sz w:val="18"/>
          <w:szCs w:val="18"/>
        </w:rPr>
        <w:t xml:space="preserve">09</w:t>
      </w:r>
      <w:r>
        <w:rPr>
          <w:rFonts w:ascii="Arial" w:cs="Arial" w:eastAsia="Arial" w:hAnsi="Arial"/>
          <w:color w:val="0A1628"/>
          <w:sz w:val="22"/>
          <w:szCs w:val="22"/>
        </w:rPr>
        <w:t xml:space="preserve">   Track Record &amp; Differentiators</w:t>
      </w:r>
      <w:r>
        <w:rPr>
          <w:rFonts w:ascii="Arial" w:cs="Arial" w:eastAsia="Arial" w:hAnsi="Arial"/>
          <w:color w:val="6E7A91"/>
          <w:sz w:val="18"/>
          <w:szCs w:val="18"/>
        </w:rPr>
        <w:t xml:space="preserve">	14</w:t>
      </w:r>
    </w:p>
    <w:p>
      <w:pPr>
        <w:tabs>
          <w:tab w:val="right" w:pos="9880"/>
        </w:tabs>
        <w:spacing w:after="60" w:before="100"/>
      </w:pPr>
      <w:r>
        <w:rPr>
          <w:rFonts w:ascii="Arial" w:cs="Arial" w:eastAsia="Arial" w:hAnsi="Arial"/>
          <w:b/>
          <w:bCs/>
          <w:color w:val="C9A84C"/>
          <w:sz w:val="18"/>
          <w:szCs w:val="18"/>
        </w:rPr>
        <w:t xml:space="preserve">10</w:t>
      </w:r>
      <w:r>
        <w:rPr>
          <w:rFonts w:ascii="Arial" w:cs="Arial" w:eastAsia="Arial" w:hAnsi="Arial"/>
          <w:color w:val="0A1628"/>
          <w:sz w:val="22"/>
          <w:szCs w:val="22"/>
        </w:rPr>
        <w:t xml:space="preserve">   Why Veltrixair</w:t>
      </w:r>
      <w:r>
        <w:rPr>
          <w:rFonts w:ascii="Arial" w:cs="Arial" w:eastAsia="Arial" w:hAnsi="Arial"/>
          <w:color w:val="6E7A91"/>
          <w:sz w:val="18"/>
          <w:szCs w:val="18"/>
        </w:rPr>
        <w:t xml:space="preserve">	15</w:t>
      </w:r>
    </w:p>
    <w:p>
      <w:pPr>
        <w:tabs>
          <w:tab w:val="right" w:pos="9880"/>
        </w:tabs>
        <w:spacing w:after="60" w:before="100"/>
      </w:pPr>
      <w:r>
        <w:rPr>
          <w:rFonts w:ascii="Arial" w:cs="Arial" w:eastAsia="Arial" w:hAnsi="Arial"/>
          <w:b/>
          <w:bCs/>
          <w:color w:val="C9A84C"/>
          <w:sz w:val="18"/>
          <w:szCs w:val="18"/>
        </w:rPr>
        <w:t xml:space="preserve">11</w:t>
      </w:r>
      <w:r>
        <w:rPr>
          <w:rFonts w:ascii="Arial" w:cs="Arial" w:eastAsia="Arial" w:hAnsi="Arial"/>
          <w:color w:val="0A1628"/>
          <w:sz w:val="22"/>
          <w:szCs w:val="22"/>
        </w:rPr>
        <w:t xml:space="preserve">   How to Engage</w:t>
      </w:r>
      <w:r>
        <w:rPr>
          <w:rFonts w:ascii="Arial" w:cs="Arial" w:eastAsia="Arial" w:hAnsi="Arial"/>
          <w:color w:val="6E7A91"/>
          <w:sz w:val="18"/>
          <w:szCs w:val="18"/>
        </w:rPr>
        <w:t xml:space="preserve">	16</w:t>
      </w:r>
    </w:p>
    <w:p>
      <w:pPr>
        <w:tabs>
          <w:tab w:val="right" w:pos="9880"/>
        </w:tabs>
        <w:spacing w:after="60" w:before="100"/>
      </w:pPr>
      <w:r>
        <w:rPr>
          <w:rFonts w:ascii="Arial" w:cs="Arial" w:eastAsia="Arial" w:hAnsi="Arial"/>
          <w:b/>
          <w:bCs/>
          <w:color w:val="C9A84C"/>
          <w:sz w:val="18"/>
          <w:szCs w:val="18"/>
        </w:rPr>
        <w:t xml:space="preserve">12</w:t>
      </w:r>
      <w:r>
        <w:rPr>
          <w:rFonts w:ascii="Arial" w:cs="Arial" w:eastAsia="Arial" w:hAnsi="Arial"/>
          <w:color w:val="0A1628"/>
          <w:sz w:val="22"/>
          <w:szCs w:val="22"/>
        </w:rPr>
        <w:t xml:space="preserve">   Frameworks &amp; Standards Coverage</w:t>
      </w:r>
      <w:r>
        <w:rPr>
          <w:rFonts w:ascii="Arial" w:cs="Arial" w:eastAsia="Arial" w:hAnsi="Arial"/>
          <w:color w:val="6E7A91"/>
          <w:sz w:val="18"/>
          <w:szCs w:val="18"/>
        </w:rPr>
        <w:t xml:space="preserve">	17</w:t>
      </w:r>
    </w:p>
    <w:p>
      <w:pPr>
        <w:pBdr>
          <w:bottom w:val="single" w:color="D6D9DE" w:sz="4" w:space="1"/>
        </w:pBdr>
        <w:spacing w:after="80" w:before="80"/>
      </w:pPr>
      <w:r>
        <w:t xml:space="preserve"/>
      </w:r>
    </w:p>
    <w:p>
      <w:pPr>
        <w:spacing w:after="120" w:before="0" w:line="300"/>
        <w:jc w:val="left"/>
      </w:pPr>
      <w:r>
        <w:rPr>
          <w:rFonts w:ascii="Arial" w:cs="Arial" w:eastAsia="Arial" w:hAnsi="Arial"/>
          <w:color w:val="6E7A91"/>
          <w:sz w:val="18"/>
          <w:szCs w:val="18"/>
        </w:rPr>
        <w:t xml:space="preserve">Appendix A — Office Addresses &amp; Direct Lines</w:t>
      </w:r>
    </w:p>
    <w:p>
      <w:pPr>
        <w:spacing w:after="120" w:before="0" w:line="300"/>
        <w:jc w:val="left"/>
      </w:pPr>
      <w:r>
        <w:rPr>
          <w:rFonts w:ascii="Arial" w:cs="Arial" w:eastAsia="Arial" w:hAnsi="Arial"/>
          <w:color w:val="6E7A91"/>
          <w:sz w:val="18"/>
          <w:szCs w:val="18"/>
        </w:rPr>
        <w:t xml:space="preserve">Appendix B — Document References &amp; Custodian Contact</w:t>
      </w:r>
    </w:p>
    <w:p>
      <w:pPr>
        <w:spacing w:after="40" w:before="0"/>
      </w:pPr>
      <w:r>
        <w:rPr>
          <w:rFonts w:ascii="Arial" w:cs="Arial" w:eastAsia="Arial" w:hAnsi="Arial"/>
          <w:b/>
          <w:bCs/>
          <w:color w:val="C9A84C"/>
          <w:spacing w:val="30"/>
          <w:sz w:val="16"/>
          <w:szCs w:val="16"/>
        </w:rPr>
        <w:t xml:space="preserve">/ 01</w:t>
      </w:r>
    </w:p>
    <w:p>
      <w:pPr>
        <w:pStyle w:val="Heading1"/>
        <w:pageBreakBefore/>
        <w:spacing w:after="240" w:before="480"/>
      </w:pPr>
      <w:r>
        <w:rPr>
          <w:rFonts w:ascii="Arial" w:cs="Arial" w:eastAsia="Arial" w:hAnsi="Arial"/>
          <w:b/>
          <w:bCs/>
          <w:color w:val="0A1628"/>
          <w:sz w:val="36"/>
          <w:szCs w:val="36"/>
        </w:rPr>
        <w:t xml:space="preserve">Executive Summary</w:t>
      </w:r>
    </w:p>
    <w:p>
      <w:pPr>
        <w:pBdr>
          <w:bottom w:val="single" w:color="C9A84C" w:sz="8" w:space="1"/>
        </w:pBdr>
        <w:spacing w:after="120" w:before="120"/>
      </w:pPr>
      <w:r>
        <w:t xml:space="preserve"/>
      </w:r>
    </w:p>
    <w:p>
      <w:pPr>
        <w:spacing w:after="180" w:before="80" w:line="300"/>
        <w:jc w:val="left"/>
      </w:pPr>
      <w:r>
        <w:rPr>
          <w:rFonts w:ascii="Arial" w:cs="Arial" w:eastAsia="Arial" w:hAnsi="Arial"/>
          <w:color w:val="0A1628"/>
          <w:sz w:val="22"/>
          <w:szCs w:val="22"/>
        </w:rPr>
        <w:t xml:space="preserve">Veltrixair is a multi-jurisdictional enterprise services group, headquartered in Riyadh, Kingdom of Saudi Arabia, with operations across the Gulf Cooperation Council and India. The firm serves regulated industries — financial services, government, energy, healthcare, real estate, retail, manufacturing, and education — through six core service practices, a dedicated Data Privacy Advisory unit, and a partner-distributed AI voice solution.</w:t>
      </w:r>
    </w:p>
    <w:p>
      <w:pPr>
        <w:spacing w:after="240" w:before="0" w:line="300"/>
        <w:jc w:val="left"/>
      </w:pPr>
      <w:r>
        <w:rPr>
          <w:rFonts w:ascii="Arial" w:cs="Arial" w:eastAsia="Arial" w:hAnsi="Arial"/>
          <w:color w:val="0A1628"/>
          <w:sz w:val="22"/>
          <w:szCs w:val="22"/>
        </w:rPr>
        <w:t xml:space="preserve">Our practice is structured around the conviction that enterprise technology should compound — appreciating in value over a decade, not depreciating in two years. We deliver against this conviction through senior practitioner-led teams, sovereign-aware delivery, and the audit-ready governance posture our regulated clients require.</w:t>
      </w:r>
    </w:p>
    <w:p>
      <w:pPr>
        <w:spacing w:after="360" w:before="0" w:line="300"/>
        <w:jc w:val="left"/>
      </w:pPr>
      <w:r>
        <w:rPr>
          <w:rFonts w:ascii="Arial" w:cs="Arial" w:eastAsia="Arial" w:hAnsi="Arial"/>
          <w:color w:val="0A1628"/>
          <w:sz w:val="22"/>
          <w:szCs w:val="22"/>
        </w:rPr>
        <w:t xml:space="preserve">This Capability Statement summarises what we offer, who we serve, where we operate, and how to engage. It is intended for client evaluation, vendor registration, and procurement use. Confidential matters not appearing in this document are available under NDA on request.</w:t>
      </w:r>
    </w:p>
    <w:p>
      <w:pPr>
        <w:pStyle w:val="Heading2"/>
        <w:spacing w:after="120" w:before="320"/>
      </w:pPr>
      <w:r>
        <w:rPr>
          <w:rFonts w:ascii="Arial" w:cs="Arial" w:eastAsia="Arial" w:hAnsi="Arial"/>
          <w:b/>
          <w:bCs/>
          <w:color w:val="0A1628"/>
          <w:sz w:val="24"/>
          <w:szCs w:val="24"/>
        </w:rPr>
        <w:t xml:space="preserve">At a Glance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520"/>
        <w:gridCol w:w="2520"/>
        <w:gridCol w:w="2520"/>
        <w:gridCol w:w="2520"/>
      </w:tblGrid>
      <w:tr>
        <w:tc>
          <w:tcPr>
            <w:tcW w:type="dxa" w:w="2520"/>
            <w:tcBorders>
              <w:top w:val="single" w:color="D6D9DE" w:sz="4"/>
              <w:left w:val="single" w:color="D6D9DE" w:sz="4"/>
              <w:bottom w:val="single" w:color="D6D9DE" w:sz="4"/>
              <w:right w:val="single" w:color="D6D9DE" w:sz="4"/>
            </w:tcBorders>
            <w:shd w:fill="0A1628" w:val="clear"/>
            <w:tcMar>
              <w:top w:type="dxa" w:w="200"/>
              <w:left w:type="dxa" w:w="80"/>
              <w:bottom w:type="dxa" w:w="200"/>
              <w:right w:type="dxa" w:w="80"/>
            </w:tcMar>
            <w:vAlign w:val="center"/>
          </w:tcPr>
          <w:p>
            <w:pPr>
              <w:spacing w:after="60" w:before="80"/>
              <w:jc w:val="center"/>
            </w:pPr>
            <w:r>
              <w:rPr>
                <w:rFonts w:ascii="Arial" w:cs="Arial" w:eastAsia="Arial" w:hAnsi="Arial"/>
                <w:b/>
                <w:bCs/>
                <w:color w:val="C9A84C"/>
                <w:sz w:val="56"/>
                <w:szCs w:val="56"/>
              </w:rPr>
              <w:t xml:space="preserve">120+</w:t>
            </w:r>
          </w:p>
          <w:p>
            <w:pPr>
              <w:spacing w:after="80" w:before="0"/>
              <w:jc w:val="center"/>
            </w:pPr>
            <w:r>
              <w:rPr>
                <w:rFonts w:ascii="Arial" w:cs="Arial" w:eastAsia="Arial" w:hAnsi="Arial"/>
                <w:b/>
                <w:bCs/>
                <w:color w:val="6E7A91"/>
                <w:spacing w:val="25"/>
                <w:sz w:val="13"/>
                <w:szCs w:val="13"/>
              </w:rPr>
              <w:t xml:space="preserve">ENGAGEMENTS DELIVERED</w:t>
            </w:r>
          </w:p>
        </w:tc>
        <w:tc>
          <w:tcPr>
            <w:tcW w:type="dxa" w:w="2520"/>
            <w:tcBorders>
              <w:top w:val="single" w:color="D6D9DE" w:sz="4"/>
              <w:left w:val="single" w:color="D6D9DE" w:sz="4"/>
              <w:bottom w:val="single" w:color="D6D9DE" w:sz="4"/>
              <w:right w:val="single" w:color="D6D9DE" w:sz="4"/>
            </w:tcBorders>
            <w:shd w:fill="0A1628" w:val="clear"/>
            <w:tcMar>
              <w:top w:type="dxa" w:w="200"/>
              <w:left w:type="dxa" w:w="80"/>
              <w:bottom w:type="dxa" w:w="200"/>
              <w:right w:type="dxa" w:w="80"/>
            </w:tcMar>
            <w:vAlign w:val="center"/>
          </w:tcPr>
          <w:p>
            <w:pPr>
              <w:spacing w:after="60" w:before="80"/>
              <w:jc w:val="center"/>
            </w:pPr>
            <w:r>
              <w:rPr>
                <w:rFonts w:ascii="Arial" w:cs="Arial" w:eastAsia="Arial" w:hAnsi="Arial"/>
                <w:b/>
                <w:bCs/>
                <w:color w:val="C9A84C"/>
                <w:sz w:val="56"/>
                <w:szCs w:val="56"/>
              </w:rPr>
              <w:t xml:space="preserve">8</w:t>
            </w:r>
          </w:p>
          <w:p>
            <w:pPr>
              <w:spacing w:after="80" w:before="0"/>
              <w:jc w:val="center"/>
            </w:pPr>
            <w:r>
              <w:rPr>
                <w:rFonts w:ascii="Arial" w:cs="Arial" w:eastAsia="Arial" w:hAnsi="Arial"/>
                <w:b/>
                <w:bCs/>
                <w:color w:val="6E7A91"/>
                <w:spacing w:val="25"/>
                <w:sz w:val="13"/>
                <w:szCs w:val="13"/>
              </w:rPr>
              <w:t xml:space="preserve">INDUSTRIES SERVED</w:t>
            </w:r>
          </w:p>
        </w:tc>
        <w:tc>
          <w:tcPr>
            <w:tcW w:type="dxa" w:w="2520"/>
            <w:tcBorders>
              <w:top w:val="single" w:color="D6D9DE" w:sz="4"/>
              <w:left w:val="single" w:color="D6D9DE" w:sz="4"/>
              <w:bottom w:val="single" w:color="D6D9DE" w:sz="4"/>
              <w:right w:val="single" w:color="D6D9DE" w:sz="4"/>
            </w:tcBorders>
            <w:shd w:fill="0A1628" w:val="clear"/>
            <w:tcMar>
              <w:top w:type="dxa" w:w="200"/>
              <w:left w:type="dxa" w:w="80"/>
              <w:bottom w:type="dxa" w:w="200"/>
              <w:right w:type="dxa" w:w="80"/>
            </w:tcMar>
            <w:vAlign w:val="center"/>
          </w:tcPr>
          <w:p>
            <w:pPr>
              <w:spacing w:after="60" w:before="80"/>
              <w:jc w:val="center"/>
            </w:pPr>
            <w:r>
              <w:rPr>
                <w:rFonts w:ascii="Arial" w:cs="Arial" w:eastAsia="Arial" w:hAnsi="Arial"/>
                <w:b/>
                <w:bCs/>
                <w:color w:val="C9A84C"/>
                <w:sz w:val="56"/>
                <w:szCs w:val="56"/>
              </w:rPr>
              <w:t xml:space="preserve">14+</w:t>
            </w:r>
          </w:p>
          <w:p>
            <w:pPr>
              <w:spacing w:after="80" w:before="0"/>
              <w:jc w:val="center"/>
            </w:pPr>
            <w:r>
              <w:rPr>
                <w:rFonts w:ascii="Arial" w:cs="Arial" w:eastAsia="Arial" w:hAnsi="Arial"/>
                <w:b/>
                <w:bCs/>
                <w:color w:val="6E7A91"/>
                <w:spacing w:val="25"/>
                <w:sz w:val="13"/>
                <w:szCs w:val="13"/>
              </w:rPr>
              <w:t xml:space="preserve">REGULATORY FRAMEWORKS</w:t>
            </w:r>
          </w:p>
        </w:tc>
        <w:tc>
          <w:tcPr>
            <w:tcW w:type="dxa" w:w="2520"/>
            <w:tcBorders>
              <w:top w:val="single" w:color="D6D9DE" w:sz="4"/>
              <w:left w:val="single" w:color="D6D9DE" w:sz="4"/>
              <w:bottom w:val="single" w:color="D6D9DE" w:sz="4"/>
              <w:right w:val="single" w:color="D6D9DE" w:sz="4"/>
            </w:tcBorders>
            <w:shd w:fill="0A1628" w:val="clear"/>
            <w:tcMar>
              <w:top w:type="dxa" w:w="200"/>
              <w:left w:type="dxa" w:w="80"/>
              <w:bottom w:type="dxa" w:w="200"/>
              <w:right w:type="dxa" w:w="80"/>
            </w:tcMar>
            <w:vAlign w:val="center"/>
          </w:tcPr>
          <w:p>
            <w:pPr>
              <w:spacing w:after="60" w:before="80"/>
              <w:jc w:val="center"/>
            </w:pPr>
            <w:r>
              <w:rPr>
                <w:rFonts w:ascii="Arial" w:cs="Arial" w:eastAsia="Arial" w:hAnsi="Arial"/>
                <w:b/>
                <w:bCs/>
                <w:color w:val="C9A84C"/>
                <w:sz w:val="56"/>
                <w:szCs w:val="56"/>
              </w:rPr>
              <w:t xml:space="preserve">3</w:t>
            </w:r>
          </w:p>
          <w:p>
            <w:pPr>
              <w:spacing w:after="80" w:before="0"/>
              <w:jc w:val="center"/>
            </w:pPr>
            <w:r>
              <w:rPr>
                <w:rFonts w:ascii="Arial" w:cs="Arial" w:eastAsia="Arial" w:hAnsi="Arial"/>
                <w:b/>
                <w:bCs/>
                <w:color w:val="6E7A91"/>
                <w:spacing w:val="25"/>
                <w:sz w:val="13"/>
                <w:szCs w:val="13"/>
              </w:rPr>
              <w:t xml:space="preserve">JURISDICTIONS</w:t>
            </w:r>
          </w:p>
        </w:tc>
      </w:tr>
    </w:tbl>
    <w:p>
      <w:pPr>
        <w:spacing w:after="40" w:before="0"/>
      </w:pPr>
      <w:r>
        <w:rPr>
          <w:rFonts w:ascii="Arial" w:cs="Arial" w:eastAsia="Arial" w:hAnsi="Arial"/>
          <w:b/>
          <w:bCs/>
          <w:color w:val="C9A84C"/>
          <w:spacing w:val="30"/>
          <w:sz w:val="16"/>
          <w:szCs w:val="16"/>
        </w:rPr>
        <w:t xml:space="preserve">/ 02</w:t>
      </w:r>
    </w:p>
    <w:p>
      <w:pPr>
        <w:pStyle w:val="Heading1"/>
        <w:pageBreakBefore/>
        <w:spacing w:after="240" w:before="480"/>
      </w:pPr>
      <w:r>
        <w:rPr>
          <w:rFonts w:ascii="Arial" w:cs="Arial" w:eastAsia="Arial" w:hAnsi="Arial"/>
          <w:b/>
          <w:bCs/>
          <w:color w:val="0A1628"/>
          <w:sz w:val="36"/>
          <w:szCs w:val="36"/>
        </w:rPr>
        <w:t xml:space="preserve">About Veltrixair</w:t>
      </w:r>
    </w:p>
    <w:p>
      <w:pPr>
        <w:pBdr>
          <w:bottom w:val="single" w:color="C9A84C" w:sz="8" w:space="1"/>
        </w:pBdr>
        <w:spacing w:after="120" w:before="120"/>
      </w:pPr>
      <w:r>
        <w:t xml:space="preserve"/>
      </w:r>
    </w:p>
    <w:p>
      <w:pPr>
        <w:spacing w:after="160" w:before="80" w:line="300"/>
        <w:jc w:val="left"/>
      </w:pPr>
      <w:r>
        <w:rPr>
          <w:rFonts w:ascii="Arial" w:cs="Arial" w:eastAsia="Arial" w:hAnsi="Arial"/>
          <w:color w:val="0A1628"/>
          <w:sz w:val="22"/>
          <w:szCs w:val="22"/>
        </w:rPr>
        <w:t xml:space="preserve">Veltrixair was established as a multi-disciplinary enterprise group with the express purpose of providing dependable, governance-grade technology and advisory services to organisations operating under the regulatory regimes of the Kingdom of Saudi Arabia, the wider Gulf Cooperation Council, and India.</w:t>
      </w:r>
    </w:p>
    <w:p>
      <w:pPr>
        <w:spacing w:after="240" w:before="0" w:line="300"/>
        <w:jc w:val="left"/>
      </w:pPr>
      <w:r>
        <w:rPr>
          <w:rFonts w:ascii="Arial" w:cs="Arial" w:eastAsia="Arial" w:hAnsi="Arial"/>
          <w:color w:val="0A1628"/>
          <w:sz w:val="22"/>
          <w:szCs w:val="22"/>
        </w:rPr>
        <w:t xml:space="preserve">The group is structured around two client-facing business units — IT Products &amp; Services and Data Privacy Advisory — supported by a third partner-distributed solution practice for Voice and Agentic AI. Each unit is led by a senior practitioner with documented multi-jurisdictional delivery.</w:t>
      </w:r>
    </w:p>
    <w:p>
      <w:pPr>
        <w:pStyle w:val="Heading2"/>
        <w:spacing w:after="120" w:before="320"/>
      </w:pPr>
      <w:r>
        <w:rPr>
          <w:rFonts w:ascii="Arial" w:cs="Arial" w:eastAsia="Arial" w:hAnsi="Arial"/>
          <w:b/>
          <w:bCs/>
          <w:color w:val="0A1628"/>
          <w:sz w:val="24"/>
          <w:szCs w:val="24"/>
        </w:rPr>
        <w:t xml:space="preserve">Operating Model</w:t>
      </w:r>
    </w:p>
    <w:p>
      <w:pPr>
        <w:spacing w:after="240" w:before="0" w:line="300"/>
        <w:jc w:val="left"/>
      </w:pPr>
      <w:r>
        <w:rPr>
          <w:rFonts w:ascii="Arial" w:cs="Arial" w:eastAsia="Arial" w:hAnsi="Arial"/>
          <w:color w:val="3B4A63"/>
          <w:sz w:val="20"/>
          <w:szCs w:val="20"/>
        </w:rPr>
        <w:t xml:space="preserve">Three offices anchor our delivery across the regions we serve. Each office is staffed with locally-credentialed practitioners and carries the language coverage required for client engagements in its jurisdiction.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360"/>
        <w:gridCol w:w="3360"/>
        <w:gridCol w:w="3360"/>
      </w:tblGrid>
      <w:tr>
        <w:tc>
          <w:tcPr>
            <w:tcW w:type="dxa" w:w="3360"/>
            <w:tcBorders>
              <w:top w:val="single" w:color="D6D9DE" w:sz="4"/>
              <w:left w:val="single" w:color="D6D9DE" w:sz="4"/>
              <w:bottom w:val="single" w:color="D6D9DE" w:sz="4"/>
              <w:right w:val="single" w:color="D6D9DE" w:sz="4"/>
            </w:tcBorders>
            <w:shd w:fill="F4F1E8" w:val="clear"/>
            <w:tcMar>
              <w:top w:type="dxa" w:w="200"/>
              <w:left w:type="dxa" w:w="200"/>
              <w:bottom w:type="dxa" w:w="200"/>
              <w:right w:type="dxa" w:w="200"/>
            </w:tcMar>
            <w:vAlign w:val="top"/>
          </w:tcPr>
          <w:p>
            <w:pPr>
              <w:spacing w:after="60" w:before="0"/>
            </w:pPr>
            <w:r>
              <w:rPr>
                <w:rFonts w:ascii="Arial" w:cs="Arial" w:eastAsia="Arial" w:hAnsi="Arial"/>
                <w:b/>
                <w:bCs/>
                <w:color w:val="C9A84C"/>
                <w:spacing w:val="25"/>
                <w:sz w:val="14"/>
                <w:szCs w:val="14"/>
              </w:rPr>
              <w:t xml:space="preserve">HEADQUARTERS</w:t>
            </w:r>
          </w:p>
          <w:p>
            <w:pPr>
              <w:spacing w:after="60" w:before="120"/>
            </w:pPr>
            <w:r>
              <w:rPr>
                <w:rFonts w:ascii="Arial" w:cs="Arial" w:eastAsia="Arial" w:hAnsi="Arial"/>
                <w:b/>
                <w:bCs/>
                <w:color w:val="0A1628"/>
                <w:sz w:val="20"/>
                <w:szCs w:val="20"/>
              </w:rPr>
              <w:t xml:space="preserve">Riyadh — KSA</w:t>
            </w:r>
          </w:p>
          <w:p>
            <w:pPr>
              <w:spacing w:after="40" w:before="0" w:line="300"/>
              <w:jc w:val="left"/>
            </w:pPr>
            <w:r>
              <w:rPr>
                <w:rFonts w:ascii="Arial" w:cs="Arial" w:eastAsia="Arial" w:hAnsi="Arial"/>
                <w:color w:val="3B4A63"/>
                <w:sz w:val="18"/>
                <w:szCs w:val="18"/>
              </w:rPr>
              <w:t xml:space="preserve">King Fahd Road, Olaya District</w:t>
            </w:r>
          </w:p>
          <w:p>
            <w:pPr>
              <w:spacing w:after="120" w:before="0" w:line="300"/>
              <w:jc w:val="left"/>
            </w:pPr>
            <w:r>
              <w:rPr>
                <w:rFonts w:ascii="Arial" w:cs="Arial" w:eastAsia="Arial" w:hAnsi="Arial"/>
                <w:color w:val="3B4A63"/>
                <w:sz w:val="18"/>
                <w:szCs w:val="18"/>
              </w:rPr>
              <w:t xml:space="preserve">Riyadh 11564, Kingdom of Saudi Arabia</w:t>
            </w:r>
          </w:p>
          <w:p>
            <w:pPr>
              <w:spacing w:after="60" w:before="0"/>
            </w:pPr>
            <w:r>
              <w:rPr>
                <w:rFonts w:ascii="Arial" w:cs="Arial" w:eastAsia="Arial" w:hAnsi="Arial"/>
                <w:b/>
                <w:bCs/>
                <w:color w:val="003B8E"/>
                <w:spacing w:val="25"/>
                <w:sz w:val="14"/>
                <w:szCs w:val="14"/>
              </w:rPr>
              <w:t xml:space="preserve">HOURS</w:t>
            </w:r>
          </w:p>
          <w:p>
            <w:pPr>
              <w:spacing w:after="120" w:before="0" w:line="300"/>
              <w:jc w:val="left"/>
            </w:pPr>
            <w:r>
              <w:rPr>
                <w:rFonts w:ascii="Arial" w:cs="Arial" w:eastAsia="Arial" w:hAnsi="Arial"/>
                <w:color w:val="3B4A63"/>
                <w:sz w:val="16"/>
                <w:szCs w:val="16"/>
              </w:rPr>
              <w:t xml:space="preserve">Sunday – Thursday  ·  09:00 – 18:00 AST</w:t>
            </w:r>
          </w:p>
          <w:p>
            <w:pPr>
              <w:spacing w:after="60" w:before="0"/>
            </w:pPr>
            <w:r>
              <w:rPr>
                <w:rFonts w:ascii="Arial" w:cs="Arial" w:eastAsia="Arial" w:hAnsi="Arial"/>
                <w:b/>
                <w:bCs/>
                <w:color w:val="003B8E"/>
                <w:spacing w:val="25"/>
                <w:sz w:val="14"/>
                <w:szCs w:val="14"/>
              </w:rPr>
              <w:t xml:space="preserve">LANGUAGES</w:t>
            </w:r>
          </w:p>
          <w:p>
            <w:pPr>
              <w:spacing w:after="120" w:before="0" w:line="300"/>
              <w:jc w:val="left"/>
            </w:pPr>
            <w:r>
              <w:rPr>
                <w:rFonts w:ascii="Arial" w:cs="Arial" w:eastAsia="Arial" w:hAnsi="Arial"/>
                <w:color w:val="3B4A63"/>
                <w:sz w:val="16"/>
                <w:szCs w:val="16"/>
              </w:rPr>
              <w:t xml:space="preserve">English  ·  Arabic</w:t>
            </w:r>
          </w:p>
        </w:tc>
        <w:tc>
          <w:tcPr>
            <w:tcW w:type="dxa" w:w="3360"/>
            <w:tcBorders>
              <w:top w:val="single" w:color="D6D9DE" w:sz="4"/>
              <w:left w:val="single" w:color="D6D9DE" w:sz="4"/>
              <w:bottom w:val="single" w:color="D6D9DE" w:sz="4"/>
              <w:right w:val="single" w:color="D6D9DE" w:sz="4"/>
            </w:tcBorders>
            <w:shd w:fill="F4F1E8" w:val="clear"/>
            <w:tcMar>
              <w:top w:type="dxa" w:w="200"/>
              <w:left w:type="dxa" w:w="200"/>
              <w:bottom w:type="dxa" w:w="200"/>
              <w:right w:type="dxa" w:w="200"/>
            </w:tcMar>
            <w:vAlign w:val="top"/>
          </w:tcPr>
          <w:p>
            <w:pPr>
              <w:spacing w:after="60" w:before="0"/>
            </w:pPr>
            <w:r>
              <w:rPr>
                <w:rFonts w:ascii="Arial" w:cs="Arial" w:eastAsia="Arial" w:hAnsi="Arial"/>
                <w:b/>
                <w:bCs/>
                <w:color w:val="C9A84C"/>
                <w:spacing w:val="25"/>
                <w:sz w:val="14"/>
                <w:szCs w:val="14"/>
              </w:rPr>
              <w:t xml:space="preserve">REGIONAL OFFICE</w:t>
            </w:r>
          </w:p>
          <w:p>
            <w:pPr>
              <w:spacing w:after="60" w:before="120"/>
            </w:pPr>
            <w:r>
              <w:rPr>
                <w:rFonts w:ascii="Arial" w:cs="Arial" w:eastAsia="Arial" w:hAnsi="Arial"/>
                <w:b/>
                <w:bCs/>
                <w:color w:val="0A1628"/>
                <w:sz w:val="20"/>
                <w:szCs w:val="20"/>
              </w:rPr>
              <w:t xml:space="preserve">Dubai — UAE</w:t>
            </w:r>
          </w:p>
          <w:p>
            <w:pPr>
              <w:spacing w:after="40" w:before="0" w:line="300"/>
              <w:jc w:val="left"/>
            </w:pPr>
            <w:r>
              <w:rPr>
                <w:rFonts w:ascii="Arial" w:cs="Arial" w:eastAsia="Arial" w:hAnsi="Arial"/>
                <w:color w:val="3B4A63"/>
                <w:sz w:val="18"/>
                <w:szCs w:val="18"/>
              </w:rPr>
              <w:t xml:space="preserve">Dubai International Financial Centre</w:t>
            </w:r>
          </w:p>
          <w:p>
            <w:pPr>
              <w:spacing w:after="120" w:before="0" w:line="300"/>
              <w:jc w:val="left"/>
            </w:pPr>
            <w:r>
              <w:rPr>
                <w:rFonts w:ascii="Arial" w:cs="Arial" w:eastAsia="Arial" w:hAnsi="Arial"/>
                <w:color w:val="3B4A63"/>
                <w:sz w:val="18"/>
                <w:szCs w:val="18"/>
              </w:rPr>
              <w:t xml:space="preserve">Dubai, United Arab Emirates</w:t>
            </w:r>
          </w:p>
          <w:p>
            <w:pPr>
              <w:spacing w:after="60" w:before="0"/>
            </w:pPr>
            <w:r>
              <w:rPr>
                <w:rFonts w:ascii="Arial" w:cs="Arial" w:eastAsia="Arial" w:hAnsi="Arial"/>
                <w:b/>
                <w:bCs/>
                <w:color w:val="003B8E"/>
                <w:spacing w:val="25"/>
                <w:sz w:val="14"/>
                <w:szCs w:val="14"/>
              </w:rPr>
              <w:t xml:space="preserve">HOURS</w:t>
            </w:r>
          </w:p>
          <w:p>
            <w:pPr>
              <w:spacing w:after="120" w:before="0" w:line="300"/>
              <w:jc w:val="left"/>
            </w:pPr>
            <w:r>
              <w:rPr>
                <w:rFonts w:ascii="Arial" w:cs="Arial" w:eastAsia="Arial" w:hAnsi="Arial"/>
                <w:color w:val="3B4A63"/>
                <w:sz w:val="16"/>
                <w:szCs w:val="16"/>
              </w:rPr>
              <w:t xml:space="preserve">Monday – Friday  ·  09:00 – 18:00 GST</w:t>
            </w:r>
          </w:p>
          <w:p>
            <w:pPr>
              <w:spacing w:after="60" w:before="0"/>
            </w:pPr>
            <w:r>
              <w:rPr>
                <w:rFonts w:ascii="Arial" w:cs="Arial" w:eastAsia="Arial" w:hAnsi="Arial"/>
                <w:b/>
                <w:bCs/>
                <w:color w:val="003B8E"/>
                <w:spacing w:val="25"/>
                <w:sz w:val="14"/>
                <w:szCs w:val="14"/>
              </w:rPr>
              <w:t xml:space="preserve">LANGUAGES</w:t>
            </w:r>
          </w:p>
          <w:p>
            <w:pPr>
              <w:spacing w:after="120" w:before="0" w:line="300"/>
              <w:jc w:val="left"/>
            </w:pPr>
            <w:r>
              <w:rPr>
                <w:rFonts w:ascii="Arial" w:cs="Arial" w:eastAsia="Arial" w:hAnsi="Arial"/>
                <w:color w:val="3B4A63"/>
                <w:sz w:val="16"/>
                <w:szCs w:val="16"/>
              </w:rPr>
              <w:t xml:space="preserve">English  ·  Arabic  ·  Hindi</w:t>
            </w:r>
          </w:p>
        </w:tc>
        <w:tc>
          <w:tcPr>
            <w:tcW w:type="dxa" w:w="3360"/>
            <w:tcBorders>
              <w:top w:val="single" w:color="D6D9DE" w:sz="4"/>
              <w:left w:val="single" w:color="D6D9DE" w:sz="4"/>
              <w:bottom w:val="single" w:color="D6D9DE" w:sz="4"/>
              <w:right w:val="single" w:color="D6D9DE" w:sz="4"/>
            </w:tcBorders>
            <w:shd w:fill="F4F1E8" w:val="clear"/>
            <w:tcMar>
              <w:top w:type="dxa" w:w="200"/>
              <w:left w:type="dxa" w:w="200"/>
              <w:bottom w:type="dxa" w:w="200"/>
              <w:right w:type="dxa" w:w="200"/>
            </w:tcMar>
            <w:vAlign w:val="top"/>
          </w:tcPr>
          <w:p>
            <w:pPr>
              <w:spacing w:after="60" w:before="0"/>
            </w:pPr>
            <w:r>
              <w:rPr>
                <w:rFonts w:ascii="Arial" w:cs="Arial" w:eastAsia="Arial" w:hAnsi="Arial"/>
                <w:b/>
                <w:bCs/>
                <w:color w:val="C9A84C"/>
                <w:spacing w:val="25"/>
                <w:sz w:val="14"/>
                <w:szCs w:val="14"/>
              </w:rPr>
              <w:t xml:space="preserve">REGIONAL OFFICE</w:t>
            </w:r>
          </w:p>
          <w:p>
            <w:pPr>
              <w:spacing w:after="60" w:before="120"/>
            </w:pPr>
            <w:r>
              <w:rPr>
                <w:rFonts w:ascii="Arial" w:cs="Arial" w:eastAsia="Arial" w:hAnsi="Arial"/>
                <w:b/>
                <w:bCs/>
                <w:color w:val="0A1628"/>
                <w:sz w:val="20"/>
                <w:szCs w:val="20"/>
              </w:rPr>
              <w:t xml:space="preserve">Mumbai — India</w:t>
            </w:r>
          </w:p>
          <w:p>
            <w:pPr>
              <w:spacing w:after="40" w:before="0" w:line="300"/>
              <w:jc w:val="left"/>
            </w:pPr>
            <w:r>
              <w:rPr>
                <w:rFonts w:ascii="Arial" w:cs="Arial" w:eastAsia="Arial" w:hAnsi="Arial"/>
                <w:color w:val="3B4A63"/>
                <w:sz w:val="18"/>
                <w:szCs w:val="18"/>
              </w:rPr>
              <w:t xml:space="preserve">Bandra Kurla Complex (BKC)</w:t>
            </w:r>
          </w:p>
          <w:p>
            <w:pPr>
              <w:spacing w:after="120" w:before="0" w:line="300"/>
              <w:jc w:val="left"/>
            </w:pPr>
            <w:r>
              <w:rPr>
                <w:rFonts w:ascii="Arial" w:cs="Arial" w:eastAsia="Arial" w:hAnsi="Arial"/>
                <w:color w:val="3B4A63"/>
                <w:sz w:val="18"/>
                <w:szCs w:val="18"/>
              </w:rPr>
              <w:t xml:space="preserve">Mumbai, Maharashtra, India</w:t>
            </w:r>
          </w:p>
          <w:p>
            <w:pPr>
              <w:spacing w:after="60" w:before="0"/>
            </w:pPr>
            <w:r>
              <w:rPr>
                <w:rFonts w:ascii="Arial" w:cs="Arial" w:eastAsia="Arial" w:hAnsi="Arial"/>
                <w:b/>
                <w:bCs/>
                <w:color w:val="003B8E"/>
                <w:spacing w:val="25"/>
                <w:sz w:val="14"/>
                <w:szCs w:val="14"/>
              </w:rPr>
              <w:t xml:space="preserve">HOURS</w:t>
            </w:r>
          </w:p>
          <w:p>
            <w:pPr>
              <w:spacing w:after="120" w:before="0" w:line="300"/>
              <w:jc w:val="left"/>
            </w:pPr>
            <w:r>
              <w:rPr>
                <w:rFonts w:ascii="Arial" w:cs="Arial" w:eastAsia="Arial" w:hAnsi="Arial"/>
                <w:color w:val="3B4A63"/>
                <w:sz w:val="16"/>
                <w:szCs w:val="16"/>
              </w:rPr>
              <w:t xml:space="preserve">Monday – Friday  ·  10:00 – 19:00 IST</w:t>
            </w:r>
          </w:p>
          <w:p>
            <w:pPr>
              <w:spacing w:after="60" w:before="0"/>
            </w:pPr>
            <w:r>
              <w:rPr>
                <w:rFonts w:ascii="Arial" w:cs="Arial" w:eastAsia="Arial" w:hAnsi="Arial"/>
                <w:b/>
                <w:bCs/>
                <w:color w:val="003B8E"/>
                <w:spacing w:val="25"/>
                <w:sz w:val="14"/>
                <w:szCs w:val="14"/>
              </w:rPr>
              <w:t xml:space="preserve">LANGUAGES</w:t>
            </w:r>
          </w:p>
          <w:p>
            <w:pPr>
              <w:spacing w:after="120" w:before="0" w:line="300"/>
              <w:jc w:val="left"/>
            </w:pPr>
            <w:r>
              <w:rPr>
                <w:rFonts w:ascii="Arial" w:cs="Arial" w:eastAsia="Arial" w:hAnsi="Arial"/>
                <w:color w:val="3B4A63"/>
                <w:sz w:val="16"/>
                <w:szCs w:val="16"/>
              </w:rPr>
              <w:t xml:space="preserve">English  ·  Hindi  ·  Marathi</w:t>
            </w:r>
          </w:p>
        </w:tc>
      </w:tr>
    </w:tbl>
    <w:p>
      <w:pPr>
        <w:spacing w:after="40" w:before="0"/>
      </w:pPr>
      <w:r>
        <w:rPr>
          <w:rFonts w:ascii="Arial" w:cs="Arial" w:eastAsia="Arial" w:hAnsi="Arial"/>
          <w:b/>
          <w:bCs/>
          <w:color w:val="C9A84C"/>
          <w:spacing w:val="30"/>
          <w:sz w:val="16"/>
          <w:szCs w:val="16"/>
        </w:rPr>
        <w:t xml:space="preserve">/ 03</w:t>
      </w:r>
    </w:p>
    <w:p>
      <w:pPr>
        <w:pStyle w:val="Heading1"/>
        <w:pageBreakBefore/>
        <w:spacing w:after="240" w:before="480"/>
      </w:pPr>
      <w:r>
        <w:rPr>
          <w:rFonts w:ascii="Arial" w:cs="Arial" w:eastAsia="Arial" w:hAnsi="Arial"/>
          <w:b/>
          <w:bCs/>
          <w:color w:val="0A1628"/>
          <w:sz w:val="36"/>
          <w:szCs w:val="36"/>
        </w:rPr>
        <w:t xml:space="preserve">Purpose, Mission &amp; Values</w:t>
      </w:r>
    </w:p>
    <w:p>
      <w:pPr>
        <w:pBdr>
          <w:bottom w:val="single" w:color="C9A84C" w:sz="8" w:space="1"/>
        </w:pBdr>
        <w:spacing w:after="120" w:before="120"/>
      </w:pPr>
      <w:r>
        <w:t xml:space="preserve"/>
      </w:r>
    </w:p>
    <w:p>
      <w:pPr>
        <w:spacing w:after="240" w:before="80" w:line="300"/>
        <w:jc w:val="left"/>
      </w:pPr>
      <w:r>
        <w:rPr>
          <w:rFonts w:ascii="Arial" w:cs="Arial" w:eastAsia="Arial" w:hAnsi="Arial"/>
          <w:color w:val="0A1628"/>
          <w:sz w:val="22"/>
          <w:szCs w:val="22"/>
        </w:rPr>
        <w:t xml:space="preserve">The following purpose, mission, and values are codified in our internal charter (VA-PP-P-01) and govern every engagement we accept. They are reproduced here to make explicit the standards by which our work should be measured.</w:t>
      </w:r>
    </w:p>
    <w:p>
      <w:pPr>
        <w:pStyle w:val="Heading2"/>
        <w:spacing w:after="120" w:before="320"/>
      </w:pPr>
      <w:r>
        <w:rPr>
          <w:rFonts w:ascii="Arial" w:cs="Arial" w:eastAsia="Arial" w:hAnsi="Arial"/>
          <w:b/>
          <w:bCs/>
          <w:color w:val="0A1628"/>
          <w:sz w:val="24"/>
          <w:szCs w:val="24"/>
        </w:rPr>
        <w:t xml:space="preserve">Purpose</w:t>
      </w:r>
    </w:p>
    <w:p>
      <w:pPr>
        <w:pBdr>
          <w:left w:val="single" w:color="C9A84C" w:sz="16" w:space="12"/>
        </w:pBdr>
        <w:spacing w:after="80" w:before="240" w:line="320"/>
        <w:ind w:left="360" w:right="360"/>
      </w:pPr>
      <w:r>
        <w:rPr>
          <w:rFonts w:ascii="Arial" w:cs="Arial" w:eastAsia="Arial" w:hAnsi="Arial"/>
          <w:i/>
          <w:iCs/>
          <w:color w:val="0A1628"/>
          <w:sz w:val="22"/>
          <w:szCs w:val="22"/>
        </w:rPr>
        <w:t xml:space="preserve">We build with purpose, for people and humanity.</w:t>
      </w:r>
    </w:p>
    <w:p>
      <w:pPr>
        <w:spacing w:after="240" w:before="0"/>
        <w:ind w:left="360"/>
      </w:pPr>
      <w:r>
        <w:rPr>
          <w:rFonts w:ascii="Arial" w:cs="Arial" w:eastAsia="Arial" w:hAnsi="Arial"/>
          <w:b/>
          <w:bCs/>
          <w:color w:val="C9A84C"/>
          <w:spacing w:val="25"/>
          <w:sz w:val="14"/>
          <w:szCs w:val="14"/>
        </w:rPr>
        <w:t xml:space="preserve">— VELTRIXAIR CHARTER · VA-PP-P-01</w:t>
      </w:r>
    </w:p>
    <w:p>
      <w:pPr>
        <w:spacing w:after="240" w:before="0" w:line="300"/>
        <w:jc w:val="left"/>
      </w:pPr>
      <w:r>
        <w:rPr>
          <w:rFonts w:ascii="Arial" w:cs="Arial" w:eastAsia="Arial" w:hAnsi="Arial"/>
          <w:color w:val="3B4A63"/>
          <w:sz w:val="20"/>
          <w:szCs w:val="20"/>
        </w:rPr>
        <w:t xml:space="preserve">This commitment is operationalised through four pillars — creating value that lasts, empowering people to lead, integrity in every action, and building for the greater good. These pillars frame how we evaluate engagements, structure teams, and measure outcomes.</w:t>
      </w:r>
    </w:p>
    <w:p>
      <w:pPr>
        <w:pStyle w:val="Heading2"/>
        <w:spacing w:after="120" w:before="320"/>
      </w:pPr>
      <w:r>
        <w:rPr>
          <w:rFonts w:ascii="Arial" w:cs="Arial" w:eastAsia="Arial" w:hAnsi="Arial"/>
          <w:b/>
          <w:bCs/>
          <w:color w:val="0A1628"/>
          <w:sz w:val="24"/>
          <w:szCs w:val="24"/>
        </w:rPr>
        <w:t xml:space="preserve">Mission</w:t>
      </w:r>
    </w:p>
    <w:p>
      <w:pPr>
        <w:pBdr>
          <w:left w:val="single" w:color="C9A84C" w:sz="16" w:space="12"/>
        </w:pBdr>
        <w:spacing w:after="80" w:before="240" w:line="320"/>
        <w:ind w:left="360" w:right="360"/>
      </w:pPr>
      <w:r>
        <w:rPr>
          <w:rFonts w:ascii="Arial" w:cs="Arial" w:eastAsia="Arial" w:hAnsi="Arial"/>
          <w:i/>
          <w:iCs/>
          <w:color w:val="0A1628"/>
          <w:sz w:val="22"/>
          <w:szCs w:val="22"/>
        </w:rPr>
        <w:t xml:space="preserve">To deliver dependable solutions through continuous improvement, creating lasting value for every individual we connect with.</w:t>
      </w:r>
    </w:p>
    <w:p>
      <w:pPr>
        <w:spacing w:after="240" w:before="0"/>
        <w:ind w:left="360"/>
      </w:pPr>
      <w:r>
        <w:rPr>
          <w:rFonts w:ascii="Arial" w:cs="Arial" w:eastAsia="Arial" w:hAnsi="Arial"/>
          <w:b/>
          <w:bCs/>
          <w:color w:val="C9A84C"/>
          <w:spacing w:val="25"/>
          <w:sz w:val="14"/>
          <w:szCs w:val="14"/>
        </w:rPr>
        <w:t xml:space="preserve">— VELTRIXAIR CHARTER · VA-PP-P-01</w:t>
      </w:r>
    </w:p>
    <w:p>
      <w:pPr>
        <w:pStyle w:val="Heading2"/>
        <w:spacing w:after="120" w:before="320"/>
      </w:pPr>
      <w:r>
        <w:rPr>
          <w:rFonts w:ascii="Arial" w:cs="Arial" w:eastAsia="Arial" w:hAnsi="Arial"/>
          <w:b/>
          <w:bCs/>
          <w:color w:val="0A1628"/>
          <w:sz w:val="24"/>
          <w:szCs w:val="24"/>
        </w:rPr>
        <w:t xml:space="preserve">Values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c>
          <w:tcPr>
            <w:tcW w:type="dxa" w:w="5040"/>
            <w:tcBorders>
              <w:top w:val="single" w:color="D6D9DE" w:sz="4"/>
              <w:left w:val="single" w:color="D6D9DE" w:sz="4"/>
              <w:bottom w:val="single" w:color="D6D9DE" w:sz="4"/>
              <w:right w:val="single" w:color="D6D9DE" w:sz="4"/>
            </w:tcBorders>
            <w:tcMar>
              <w:top w:type="dxa" w:w="160"/>
              <w:left w:type="dxa" w:w="200"/>
              <w:bottom w:type="dxa" w:w="160"/>
              <w:right w:type="dxa" w:w="200"/>
            </w:tcMar>
            <w:vAlign w:val="top"/>
          </w:tcPr>
          <w:p>
            <w:pPr>
              <w:spacing w:after="60" w:before="0"/>
            </w:pPr>
            <w:r>
              <w:rPr>
                <w:rFonts w:ascii="Arial" w:cs="Arial" w:eastAsia="Arial" w:hAnsi="Arial"/>
                <w:b/>
                <w:bCs/>
                <w:color w:val="C9A84C"/>
                <w:spacing w:val="25"/>
                <w:sz w:val="14"/>
                <w:szCs w:val="14"/>
              </w:rPr>
              <w:t xml:space="preserve">/ A</w:t>
            </w:r>
          </w:p>
          <w:p>
            <w:pPr>
              <w:spacing w:after="60" w:before="120"/>
            </w:pPr>
            <w:r>
              <w:rPr>
                <w:rFonts w:ascii="Arial" w:cs="Arial" w:eastAsia="Arial" w:hAnsi="Arial"/>
                <w:b/>
                <w:bCs/>
                <w:color w:val="0A1628"/>
                <w:sz w:val="20"/>
                <w:szCs w:val="20"/>
              </w:rPr>
              <w:t xml:space="preserve">Ownership &amp; Responsibility</w:t>
            </w:r>
          </w:p>
          <w:p>
            <w:pPr>
              <w:spacing w:after="120" w:before="0" w:line="300"/>
              <w:jc w:val="left"/>
            </w:pPr>
            <w:r>
              <w:rPr>
                <w:rFonts w:ascii="Arial" w:cs="Arial" w:eastAsia="Arial" w:hAnsi="Arial"/>
                <w:color w:val="3B4A63"/>
                <w:sz w:val="18"/>
                <w:szCs w:val="18"/>
              </w:rPr>
              <w:t xml:space="preserve">We take ownership of our work and stand behind every outcome. Every project reflects who we are.</w:t>
            </w:r>
          </w:p>
        </w:tc>
        <w:tc>
          <w:tcPr>
            <w:tcW w:type="dxa" w:w="5040"/>
            <w:tcBorders>
              <w:top w:val="single" w:color="D6D9DE" w:sz="4"/>
              <w:left w:val="single" w:color="D6D9DE" w:sz="4"/>
              <w:bottom w:val="single" w:color="D6D9DE" w:sz="4"/>
              <w:right w:val="single" w:color="D6D9DE" w:sz="4"/>
            </w:tcBorders>
            <w:tcMar>
              <w:top w:type="dxa" w:w="160"/>
              <w:left w:type="dxa" w:w="200"/>
              <w:bottom w:type="dxa" w:w="160"/>
              <w:right w:type="dxa" w:w="200"/>
            </w:tcMar>
            <w:vAlign w:val="top"/>
          </w:tcPr>
          <w:p>
            <w:pPr>
              <w:spacing w:after="60" w:before="0"/>
            </w:pPr>
            <w:r>
              <w:rPr>
                <w:rFonts w:ascii="Arial" w:cs="Arial" w:eastAsia="Arial" w:hAnsi="Arial"/>
                <w:b/>
                <w:bCs/>
                <w:color w:val="C9A84C"/>
                <w:spacing w:val="25"/>
                <w:sz w:val="14"/>
                <w:szCs w:val="14"/>
              </w:rPr>
              <w:t xml:space="preserve">/ B</w:t>
            </w:r>
          </w:p>
          <w:p>
            <w:pPr>
              <w:spacing w:after="60" w:before="120"/>
            </w:pPr>
            <w:r>
              <w:rPr>
                <w:rFonts w:ascii="Arial" w:cs="Arial" w:eastAsia="Arial" w:hAnsi="Arial"/>
                <w:b/>
                <w:bCs/>
                <w:color w:val="0A1628"/>
                <w:sz w:val="20"/>
                <w:szCs w:val="20"/>
              </w:rPr>
              <w:t xml:space="preserve">People First, Always</w:t>
            </w:r>
          </w:p>
          <w:p>
            <w:pPr>
              <w:spacing w:after="120" w:before="0" w:line="300"/>
              <w:jc w:val="left"/>
            </w:pPr>
            <w:r>
              <w:rPr>
                <w:rFonts w:ascii="Arial" w:cs="Arial" w:eastAsia="Arial" w:hAnsi="Arial"/>
                <w:color w:val="3B4A63"/>
                <w:sz w:val="18"/>
                <w:szCs w:val="18"/>
              </w:rPr>
              <w:t xml:space="preserve">We value respect, openness, and collaboration across teams and roles. Titles matter less than effort.</w:t>
            </w:r>
          </w:p>
        </w:tc>
      </w:tr>
      <w:tr>
        <w:tc>
          <w:tcPr>
            <w:tcW w:type="dxa" w:w="5040"/>
            <w:tcBorders>
              <w:top w:val="single" w:color="D6D9DE" w:sz="4"/>
              <w:left w:val="single" w:color="D6D9DE" w:sz="4"/>
              <w:bottom w:val="single" w:color="D6D9DE" w:sz="4"/>
              <w:right w:val="single" w:color="D6D9DE" w:sz="4"/>
            </w:tcBorders>
            <w:tcMar>
              <w:top w:type="dxa" w:w="160"/>
              <w:left w:type="dxa" w:w="200"/>
              <w:bottom w:type="dxa" w:w="160"/>
              <w:right w:type="dxa" w:w="200"/>
            </w:tcMar>
            <w:vAlign w:val="top"/>
          </w:tcPr>
          <w:p>
            <w:pPr>
              <w:spacing w:after="60" w:before="0"/>
            </w:pPr>
            <w:r>
              <w:rPr>
                <w:rFonts w:ascii="Arial" w:cs="Arial" w:eastAsia="Arial" w:hAnsi="Arial"/>
                <w:b/>
                <w:bCs/>
                <w:color w:val="C9A84C"/>
                <w:spacing w:val="25"/>
                <w:sz w:val="14"/>
                <w:szCs w:val="14"/>
              </w:rPr>
              <w:t xml:space="preserve">/ C</w:t>
            </w:r>
          </w:p>
          <w:p>
            <w:pPr>
              <w:spacing w:after="60" w:before="120"/>
            </w:pPr>
            <w:r>
              <w:rPr>
                <w:rFonts w:ascii="Arial" w:cs="Arial" w:eastAsia="Arial" w:hAnsi="Arial"/>
                <w:b/>
                <w:bCs/>
                <w:color w:val="0A1628"/>
                <w:sz w:val="20"/>
                <w:szCs w:val="20"/>
              </w:rPr>
              <w:t xml:space="preserve">Integrity in Action</w:t>
            </w:r>
          </w:p>
          <w:p>
            <w:pPr>
              <w:spacing w:after="120" w:before="0" w:line="300"/>
              <w:jc w:val="left"/>
            </w:pPr>
            <w:r>
              <w:rPr>
                <w:rFonts w:ascii="Arial" w:cs="Arial" w:eastAsia="Arial" w:hAnsi="Arial"/>
                <w:color w:val="3B4A63"/>
                <w:sz w:val="18"/>
                <w:szCs w:val="18"/>
              </w:rPr>
              <w:t xml:space="preserve">We choose honesty over shortcuts and responsibility over convenience. Trust is earned through consistent action.</w:t>
            </w:r>
          </w:p>
        </w:tc>
        <w:tc>
          <w:tcPr>
            <w:tcW w:type="dxa" w:w="5040"/>
            <w:tcBorders>
              <w:top w:val="single" w:color="D6D9DE" w:sz="4"/>
              <w:left w:val="single" w:color="D6D9DE" w:sz="4"/>
              <w:bottom w:val="single" w:color="D6D9DE" w:sz="4"/>
              <w:right w:val="single" w:color="D6D9DE" w:sz="4"/>
            </w:tcBorders>
            <w:tcMar>
              <w:top w:type="dxa" w:w="160"/>
              <w:left w:type="dxa" w:w="200"/>
              <w:bottom w:type="dxa" w:w="160"/>
              <w:right w:type="dxa" w:w="200"/>
            </w:tcMar>
            <w:vAlign w:val="top"/>
          </w:tcPr>
          <w:p>
            <w:pPr>
              <w:spacing w:after="60" w:before="0"/>
            </w:pPr>
            <w:r>
              <w:rPr>
                <w:rFonts w:ascii="Arial" w:cs="Arial" w:eastAsia="Arial" w:hAnsi="Arial"/>
                <w:b/>
                <w:bCs/>
                <w:color w:val="C9A84C"/>
                <w:spacing w:val="25"/>
                <w:sz w:val="14"/>
                <w:szCs w:val="14"/>
              </w:rPr>
              <w:t xml:space="preserve">/ D</w:t>
            </w:r>
          </w:p>
          <w:p>
            <w:pPr>
              <w:spacing w:after="60" w:before="120"/>
            </w:pPr>
            <w:r>
              <w:rPr>
                <w:rFonts w:ascii="Arial" w:cs="Arial" w:eastAsia="Arial" w:hAnsi="Arial"/>
                <w:b/>
                <w:bCs/>
                <w:color w:val="0A1628"/>
                <w:sz w:val="20"/>
                <w:szCs w:val="20"/>
              </w:rPr>
              <w:t xml:space="preserve">Continuous Effort &amp; Improvement</w:t>
            </w:r>
          </w:p>
          <w:p>
            <w:pPr>
              <w:spacing w:after="120" w:before="0" w:line="300"/>
              <w:jc w:val="left"/>
            </w:pPr>
            <w:r>
              <w:rPr>
                <w:rFonts w:ascii="Arial" w:cs="Arial" w:eastAsia="Arial" w:hAnsi="Arial"/>
                <w:color w:val="3B4A63"/>
                <w:sz w:val="18"/>
                <w:szCs w:val="18"/>
              </w:rPr>
              <w:t xml:space="preserve">We approach challenges with a positive mindset and continually seek better ways to serve. Growth is a daily practice.</w:t>
            </w:r>
          </w:p>
        </w:tc>
      </w:tr>
    </w:tbl>
    <w:p>
      <w:pPr>
        <w:spacing w:after="40" w:before="0"/>
      </w:pPr>
      <w:r>
        <w:rPr>
          <w:rFonts w:ascii="Arial" w:cs="Arial" w:eastAsia="Arial" w:hAnsi="Arial"/>
          <w:b/>
          <w:bCs/>
          <w:color w:val="C9A84C"/>
          <w:spacing w:val="30"/>
          <w:sz w:val="16"/>
          <w:szCs w:val="16"/>
        </w:rPr>
        <w:t xml:space="preserve">/ 04</w:t>
      </w:r>
    </w:p>
    <w:p>
      <w:pPr>
        <w:pStyle w:val="Heading1"/>
        <w:pageBreakBefore/>
        <w:spacing w:after="240" w:before="480"/>
      </w:pPr>
      <w:r>
        <w:rPr>
          <w:rFonts w:ascii="Arial" w:cs="Arial" w:eastAsia="Arial" w:hAnsi="Arial"/>
          <w:b/>
          <w:bCs/>
          <w:color w:val="0A1628"/>
          <w:sz w:val="36"/>
          <w:szCs w:val="36"/>
        </w:rPr>
        <w:t xml:space="preserve">Service Capabilities</w:t>
      </w:r>
    </w:p>
    <w:p>
      <w:pPr>
        <w:pBdr>
          <w:bottom w:val="single" w:color="C9A84C" w:sz="8" w:space="1"/>
        </w:pBdr>
        <w:spacing w:after="120" w:before="120"/>
      </w:pPr>
      <w:r>
        <w:t xml:space="preserve"/>
      </w:r>
    </w:p>
    <w:p>
      <w:pPr>
        <w:spacing w:after="160" w:before="80" w:line="300"/>
        <w:jc w:val="left"/>
      </w:pPr>
      <w:r>
        <w:rPr>
          <w:rFonts w:ascii="Arial" w:cs="Arial" w:eastAsia="Arial" w:hAnsi="Arial"/>
          <w:color w:val="0A1628"/>
          <w:sz w:val="22"/>
          <w:szCs w:val="22"/>
        </w:rPr>
        <w:t xml:space="preserve">Veltrixair operates seven distinct service practices and one dedicated advisory unit across two business units — IT Products &amp; Services and Data Privacy Advisory. Each practice is led by a senior architect and staffed with credentialed practitioners across our three offices.</w:t>
      </w:r>
    </w:p>
    <w:p>
      <w:pPr>
        <w:spacing w:after="320" w:before="0" w:line="300"/>
        <w:jc w:val="left"/>
      </w:pPr>
      <w:r>
        <w:rPr>
          <w:rFonts w:ascii="Arial" w:cs="Arial" w:eastAsia="Arial" w:hAnsi="Arial"/>
          <w:color w:val="0A1628"/>
          <w:sz w:val="22"/>
          <w:szCs w:val="22"/>
        </w:rPr>
        <w:t xml:space="preserve">The catalogue below summarises the practices. Detailed capability descriptions follow on subsequent pages, alongside typical engagement signatures and reference deliverable categories.</w:t>
      </w:r>
    </w:p>
    <w:p>
      <w:pPr>
        <w:pStyle w:val="Heading2"/>
        <w:spacing w:after="120" w:before="320"/>
      </w:pPr>
      <w:r>
        <w:rPr>
          <w:rFonts w:ascii="Arial" w:cs="Arial" w:eastAsia="Arial" w:hAnsi="Arial"/>
          <w:b/>
          <w:bCs/>
          <w:color w:val="0A1628"/>
          <w:sz w:val="24"/>
          <w:szCs w:val="24"/>
        </w:rPr>
        <w:t xml:space="preserve">Service Catalogue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800"/>
        <w:gridCol w:w="5680"/>
        <w:gridCol w:w="3600"/>
      </w:tblGrid>
      <w:tr>
        <w:tc>
          <w:tcPr>
            <w:tcW w:type="dxa" w:w="800"/>
            <w:tcBorders>
              <w:top w:val="single" w:color="D6D9DE" w:sz="4"/>
              <w:left w:val="single" w:color="D6D9DE" w:sz="4"/>
              <w:bottom w:val="single" w:color="D6D9DE" w:sz="4"/>
              <w:right w:val="single" w:color="D6D9DE" w:sz="4"/>
            </w:tcBorders>
            <w:shd w:fill="0A1628" w:val="clear"/>
            <w:tcMar>
              <w:top w:type="dxa" w:w="120"/>
              <w:left w:type="dxa" w:w="160"/>
              <w:bottom w:type="dxa" w:w="120"/>
              <w:right w:type="dxa" w:w="80"/>
            </w:tcMar>
            <w:vAlign w:val="center"/>
          </w:tcPr>
          <w:p>
            <w:pPr>
              <w:spacing w:after="120" w:before="0" w:line="300"/>
              <w:jc w:val="left"/>
            </w:pPr>
            <w:r>
              <w:rPr>
                <w:rFonts w:ascii="Arial" w:cs="Arial" w:eastAsia="Arial" w:hAnsi="Arial"/>
                <w:b/>
                <w:bCs/>
                <w:color w:val="FFFFFF"/>
                <w:spacing w:val="30"/>
                <w:sz w:val="14"/>
                <w:szCs w:val="14"/>
              </w:rPr>
              <w:t xml:space="preserve">#</w:t>
            </w:r>
          </w:p>
        </w:tc>
        <w:tc>
          <w:tcPr>
            <w:tcW w:type="dxa" w:w="5680"/>
            <w:tcBorders>
              <w:top w:val="single" w:color="D6D9DE" w:sz="4"/>
              <w:left w:val="single" w:color="D6D9DE" w:sz="4"/>
              <w:bottom w:val="single" w:color="D6D9DE" w:sz="4"/>
              <w:right w:val="single" w:color="D6D9DE" w:sz="4"/>
            </w:tcBorders>
            <w:shd w:fill="0A1628" w:val="clear"/>
            <w:tcMar>
              <w:top w:type="dxa" w:w="120"/>
              <w:left w:type="dxa" w:w="80"/>
              <w:bottom w:type="dxa" w:w="120"/>
              <w:right w:type="dxa" w:w="160"/>
            </w:tcMar>
            <w:vAlign w:val="center"/>
          </w:tcPr>
          <w:p>
            <w:pPr>
              <w:spacing w:after="120" w:before="0" w:line="300"/>
              <w:jc w:val="left"/>
            </w:pPr>
            <w:r>
              <w:rPr>
                <w:rFonts w:ascii="Arial" w:cs="Arial" w:eastAsia="Arial" w:hAnsi="Arial"/>
                <w:b/>
                <w:bCs/>
                <w:color w:val="FFFFFF"/>
                <w:spacing w:val="30"/>
                <w:sz w:val="14"/>
                <w:szCs w:val="14"/>
              </w:rPr>
              <w:t xml:space="preserve">PRACTICE</w:t>
            </w:r>
          </w:p>
        </w:tc>
        <w:tc>
          <w:tcPr>
            <w:tcW w:type="dxa" w:w="3600"/>
            <w:tcBorders>
              <w:top w:val="single" w:color="D6D9DE" w:sz="4"/>
              <w:left w:val="single" w:color="D6D9DE" w:sz="4"/>
              <w:bottom w:val="single" w:color="D6D9DE" w:sz="4"/>
              <w:right w:val="single" w:color="D6D9DE" w:sz="4"/>
            </w:tcBorders>
            <w:shd w:fill="0A1628" w:val="clear"/>
            <w:tcMar>
              <w:top w:type="dxa" w:w="120"/>
              <w:left w:type="dxa" w:w="160"/>
              <w:bottom w:type="dxa" w:w="120"/>
              <w:right w:type="dxa" w:w="160"/>
            </w:tcMar>
            <w:vAlign w:val="center"/>
          </w:tcPr>
          <w:p>
            <w:pPr>
              <w:spacing w:after="120" w:before="0" w:line="300"/>
              <w:jc w:val="left"/>
            </w:pPr>
            <w:r>
              <w:rPr>
                <w:rFonts w:ascii="Arial" w:cs="Arial" w:eastAsia="Arial" w:hAnsi="Arial"/>
                <w:b/>
                <w:bCs/>
                <w:color w:val="FFFFFF"/>
                <w:spacing w:val="30"/>
                <w:sz w:val="14"/>
                <w:szCs w:val="14"/>
              </w:rPr>
              <w:t xml:space="preserve">FOCUS</w:t>
            </w:r>
          </w:p>
        </w:tc>
      </w:tr>
      <w:tr>
        <w:tc>
          <w:tcPr>
            <w:tcW w:type="dxa" w:w="800"/>
            <w:tcBorders>
              <w:top w:val="single" w:color="D6D9DE" w:sz="4"/>
              <w:left w:val="single" w:color="D6D9DE" w:sz="4"/>
              <w:bottom w:val="single" w:color="D6D9DE" w:sz="4"/>
              <w:right w:val="single" w:color="D6D9DE" w:sz="4"/>
            </w:tcBorders>
            <w:shd w:fill="FFFFFF" w:val="clear"/>
            <w:tcMar>
              <w:top w:type="dxa" w:w="70"/>
              <w:left w:type="dxa" w:w="160"/>
              <w:bottom w:type="dxa" w:w="70"/>
              <w:right w:type="dxa" w:w="80"/>
            </w:tcMar>
            <w:vAlign w:val="top"/>
          </w:tcPr>
          <w:p>
            <w:pPr>
              <w:spacing w:after="0" w:before="40"/>
            </w:pPr>
            <w:r>
              <w:rPr>
                <w:rFonts w:ascii="Arial" w:cs="Arial" w:eastAsia="Arial" w:hAnsi="Arial"/>
                <w:b/>
                <w:bCs/>
                <w:color w:val="C9A84C"/>
                <w:sz w:val="20"/>
                <w:szCs w:val="20"/>
              </w:rPr>
              <w:t xml:space="preserve">01</w:t>
            </w:r>
          </w:p>
        </w:tc>
        <w:tc>
          <w:tcPr>
            <w:tcW w:type="dxa" w:w="5680"/>
            <w:tcBorders>
              <w:top w:val="single" w:color="D6D9DE" w:sz="4"/>
              <w:left w:val="single" w:color="D6D9DE" w:sz="4"/>
              <w:bottom w:val="single" w:color="D6D9DE" w:sz="4"/>
              <w:right w:val="single" w:color="D6D9DE" w:sz="4"/>
            </w:tcBorders>
            <w:shd w:fill="FFFFFF" w:val="clear"/>
            <w:tcMar>
              <w:top w:type="dxa" w:w="70"/>
              <w:left w:type="dxa" w:w="80"/>
              <w:bottom w:type="dxa" w:w="70"/>
              <w:right w:type="dxa" w:w="160"/>
            </w:tcMar>
            <w:vAlign w:val="top"/>
          </w:tcPr>
          <w:p>
            <w:pPr>
              <w:spacing w:after="30" w:before="40"/>
            </w:pPr>
            <w:r>
              <w:rPr>
                <w:rFonts w:ascii="Arial" w:cs="Arial" w:eastAsia="Arial" w:hAnsi="Arial"/>
                <w:b/>
                <w:bCs/>
                <w:color w:val="0A1628"/>
                <w:sz w:val="20"/>
                <w:szCs w:val="20"/>
              </w:rPr>
              <w:t xml:space="preserve">Custom Software Development</w:t>
            </w:r>
          </w:p>
          <w:p>
            <w:pPr>
              <w:spacing w:after="0" w:before="0" w:line="260"/>
              <w:jc w:val="left"/>
            </w:pPr>
            <w:r>
              <w:rPr>
                <w:rFonts w:ascii="Arial" w:cs="Arial" w:eastAsia="Arial" w:hAnsi="Arial"/>
                <w:color w:val="3B4A63"/>
                <w:sz w:val="16"/>
                <w:szCs w:val="16"/>
              </w:rPr>
              <w:t xml:space="preserve">Greenfield enterprise software, ledger-grade systems, and modernisation of legacy estates through rebuild, replatform, or refactor pathways.</w:t>
            </w:r>
          </w:p>
        </w:tc>
        <w:tc>
          <w:tcPr>
            <w:tcW w:type="dxa" w:w="3600"/>
            <w:tcBorders>
              <w:top w:val="single" w:color="D6D9DE" w:sz="4"/>
              <w:left w:val="single" w:color="D6D9DE" w:sz="4"/>
              <w:bottom w:val="single" w:color="D6D9DE" w:sz="4"/>
              <w:right w:val="single" w:color="D6D9DE" w:sz="4"/>
            </w:tcBorders>
            <w:shd w:fill="FFFFFF" w:val="clear"/>
            <w:tcMar>
              <w:top w:type="dxa" w:w="70"/>
              <w:left w:type="dxa" w:w="160"/>
              <w:bottom w:type="dxa" w:w="70"/>
              <w:right w:type="dxa" w:w="160"/>
            </w:tcMar>
            <w:vAlign w:val="top"/>
          </w:tcPr>
          <w:p>
            <w:pPr>
              <w:spacing w:after="0" w:before="0" w:line="300"/>
              <w:jc w:val="left"/>
            </w:pPr>
            <w:r>
              <w:rPr>
                <w:rFonts w:ascii="Arial" w:cs="Arial" w:eastAsia="Arial" w:hAnsi="Arial"/>
                <w:b/>
                <w:bCs/>
                <w:color w:val="003B8E"/>
                <w:spacing w:val="25"/>
                <w:sz w:val="14"/>
                <w:szCs w:val="14"/>
              </w:rPr>
              <w:t xml:space="preserve">IT BU · Software Engineering</w:t>
            </w:r>
          </w:p>
        </w:tc>
      </w:tr>
      <w:tr>
        <w:tc>
          <w:tcPr>
            <w:tcW w:type="dxa" w:w="800"/>
            <w:tcBorders>
              <w:top w:val="single" w:color="D6D9DE" w:sz="4"/>
              <w:left w:val="single" w:color="D6D9DE" w:sz="4"/>
              <w:bottom w:val="single" w:color="D6D9DE" w:sz="4"/>
              <w:right w:val="single" w:color="D6D9DE" w:sz="4"/>
            </w:tcBorders>
            <w:shd w:fill="F4F1E8" w:val="clear"/>
            <w:tcMar>
              <w:top w:type="dxa" w:w="70"/>
              <w:left w:type="dxa" w:w="160"/>
              <w:bottom w:type="dxa" w:w="70"/>
              <w:right w:type="dxa" w:w="80"/>
            </w:tcMar>
            <w:vAlign w:val="top"/>
          </w:tcPr>
          <w:p>
            <w:pPr>
              <w:spacing w:after="0" w:before="40"/>
            </w:pPr>
            <w:r>
              <w:rPr>
                <w:rFonts w:ascii="Arial" w:cs="Arial" w:eastAsia="Arial" w:hAnsi="Arial"/>
                <w:b/>
                <w:bCs/>
                <w:color w:val="C9A84C"/>
                <w:sz w:val="20"/>
                <w:szCs w:val="20"/>
              </w:rPr>
              <w:t xml:space="preserve">02</w:t>
            </w:r>
          </w:p>
        </w:tc>
        <w:tc>
          <w:tcPr>
            <w:tcW w:type="dxa" w:w="5680"/>
            <w:tcBorders>
              <w:top w:val="single" w:color="D6D9DE" w:sz="4"/>
              <w:left w:val="single" w:color="D6D9DE" w:sz="4"/>
              <w:bottom w:val="single" w:color="D6D9DE" w:sz="4"/>
              <w:right w:val="single" w:color="D6D9DE" w:sz="4"/>
            </w:tcBorders>
            <w:shd w:fill="F4F1E8" w:val="clear"/>
            <w:tcMar>
              <w:top w:type="dxa" w:w="70"/>
              <w:left w:type="dxa" w:w="80"/>
              <w:bottom w:type="dxa" w:w="70"/>
              <w:right w:type="dxa" w:w="160"/>
            </w:tcMar>
            <w:vAlign w:val="top"/>
          </w:tcPr>
          <w:p>
            <w:pPr>
              <w:spacing w:after="30" w:before="40"/>
            </w:pPr>
            <w:r>
              <w:rPr>
                <w:rFonts w:ascii="Arial" w:cs="Arial" w:eastAsia="Arial" w:hAnsi="Arial"/>
                <w:b/>
                <w:bCs/>
                <w:color w:val="0A1628"/>
                <w:sz w:val="20"/>
                <w:szCs w:val="20"/>
              </w:rPr>
              <w:t xml:space="preserve">Platform Engineering Services</w:t>
            </w:r>
          </w:p>
          <w:p>
            <w:pPr>
              <w:spacing w:after="0" w:before="0" w:line="260"/>
              <w:jc w:val="left"/>
            </w:pPr>
            <w:r>
              <w:rPr>
                <w:rFonts w:ascii="Arial" w:cs="Arial" w:eastAsia="Arial" w:hAnsi="Arial"/>
                <w:color w:val="3B4A63"/>
                <w:sz w:val="16"/>
                <w:szCs w:val="16"/>
              </w:rPr>
              <w:t xml:space="preserve">Internal developer platforms, sovereign cloud architecture, multi-cluster Kubernetes, observability, and supply-chain security.</w:t>
            </w:r>
          </w:p>
        </w:tc>
        <w:tc>
          <w:tcPr>
            <w:tcW w:type="dxa" w:w="3600"/>
            <w:tcBorders>
              <w:top w:val="single" w:color="D6D9DE" w:sz="4"/>
              <w:left w:val="single" w:color="D6D9DE" w:sz="4"/>
              <w:bottom w:val="single" w:color="D6D9DE" w:sz="4"/>
              <w:right w:val="single" w:color="D6D9DE" w:sz="4"/>
            </w:tcBorders>
            <w:shd w:fill="F4F1E8" w:val="clear"/>
            <w:tcMar>
              <w:top w:type="dxa" w:w="70"/>
              <w:left w:type="dxa" w:w="160"/>
              <w:bottom w:type="dxa" w:w="70"/>
              <w:right w:type="dxa" w:w="160"/>
            </w:tcMar>
            <w:vAlign w:val="top"/>
          </w:tcPr>
          <w:p>
            <w:pPr>
              <w:spacing w:after="0" w:before="0" w:line="300"/>
              <w:jc w:val="left"/>
            </w:pPr>
            <w:r>
              <w:rPr>
                <w:rFonts w:ascii="Arial" w:cs="Arial" w:eastAsia="Arial" w:hAnsi="Arial"/>
                <w:b/>
                <w:bCs/>
                <w:color w:val="003B8E"/>
                <w:spacing w:val="25"/>
                <w:sz w:val="14"/>
                <w:szCs w:val="14"/>
              </w:rPr>
              <w:t xml:space="preserve">IT BU · Platform &amp; Cloud</w:t>
            </w:r>
          </w:p>
        </w:tc>
      </w:tr>
      <w:tr>
        <w:tc>
          <w:tcPr>
            <w:tcW w:type="dxa" w:w="800"/>
            <w:tcBorders>
              <w:top w:val="single" w:color="D6D9DE" w:sz="4"/>
              <w:left w:val="single" w:color="D6D9DE" w:sz="4"/>
              <w:bottom w:val="single" w:color="D6D9DE" w:sz="4"/>
              <w:right w:val="single" w:color="D6D9DE" w:sz="4"/>
            </w:tcBorders>
            <w:shd w:fill="FFFFFF" w:val="clear"/>
            <w:tcMar>
              <w:top w:type="dxa" w:w="70"/>
              <w:left w:type="dxa" w:w="160"/>
              <w:bottom w:type="dxa" w:w="70"/>
              <w:right w:type="dxa" w:w="80"/>
            </w:tcMar>
            <w:vAlign w:val="top"/>
          </w:tcPr>
          <w:p>
            <w:pPr>
              <w:spacing w:after="0" w:before="40"/>
            </w:pPr>
            <w:r>
              <w:rPr>
                <w:rFonts w:ascii="Arial" w:cs="Arial" w:eastAsia="Arial" w:hAnsi="Arial"/>
                <w:b/>
                <w:bCs/>
                <w:color w:val="C9A84C"/>
                <w:sz w:val="20"/>
                <w:szCs w:val="20"/>
              </w:rPr>
              <w:t xml:space="preserve">03</w:t>
            </w:r>
          </w:p>
        </w:tc>
        <w:tc>
          <w:tcPr>
            <w:tcW w:type="dxa" w:w="5680"/>
            <w:tcBorders>
              <w:top w:val="single" w:color="D6D9DE" w:sz="4"/>
              <w:left w:val="single" w:color="D6D9DE" w:sz="4"/>
              <w:bottom w:val="single" w:color="D6D9DE" w:sz="4"/>
              <w:right w:val="single" w:color="D6D9DE" w:sz="4"/>
            </w:tcBorders>
            <w:shd w:fill="FFFFFF" w:val="clear"/>
            <w:tcMar>
              <w:top w:type="dxa" w:w="70"/>
              <w:left w:type="dxa" w:w="80"/>
              <w:bottom w:type="dxa" w:w="70"/>
              <w:right w:type="dxa" w:w="160"/>
            </w:tcMar>
            <w:vAlign w:val="top"/>
          </w:tcPr>
          <w:p>
            <w:pPr>
              <w:spacing w:after="30" w:before="40"/>
            </w:pPr>
            <w:r>
              <w:rPr>
                <w:rFonts w:ascii="Arial" w:cs="Arial" w:eastAsia="Arial" w:hAnsi="Arial"/>
                <w:b/>
                <w:bCs/>
                <w:color w:val="0A1628"/>
                <w:sz w:val="20"/>
                <w:szCs w:val="20"/>
              </w:rPr>
              <w:t xml:space="preserve">Cybersecurity &amp; Compliance</w:t>
            </w:r>
          </w:p>
          <w:p>
            <w:pPr>
              <w:spacing w:after="0" w:before="0" w:line="260"/>
              <w:jc w:val="left"/>
            </w:pPr>
            <w:r>
              <w:rPr>
                <w:rFonts w:ascii="Arial" w:cs="Arial" w:eastAsia="Arial" w:hAnsi="Arial"/>
                <w:color w:val="3B4A63"/>
                <w:sz w:val="16"/>
                <w:szCs w:val="16"/>
              </w:rPr>
              <w:t xml:space="preserve">Sovereign-aware SOC architecture, managed detection and response, governance under SAMA, NCA and RBI frameworks, identity-first zero-trust.</w:t>
            </w:r>
          </w:p>
        </w:tc>
        <w:tc>
          <w:tcPr>
            <w:tcW w:type="dxa" w:w="3600"/>
            <w:tcBorders>
              <w:top w:val="single" w:color="D6D9DE" w:sz="4"/>
              <w:left w:val="single" w:color="D6D9DE" w:sz="4"/>
              <w:bottom w:val="single" w:color="D6D9DE" w:sz="4"/>
              <w:right w:val="single" w:color="D6D9DE" w:sz="4"/>
            </w:tcBorders>
            <w:shd w:fill="FFFFFF" w:val="clear"/>
            <w:tcMar>
              <w:top w:type="dxa" w:w="70"/>
              <w:left w:type="dxa" w:w="160"/>
              <w:bottom w:type="dxa" w:w="70"/>
              <w:right w:type="dxa" w:w="160"/>
            </w:tcMar>
            <w:vAlign w:val="top"/>
          </w:tcPr>
          <w:p>
            <w:pPr>
              <w:spacing w:after="0" w:before="0" w:line="300"/>
              <w:jc w:val="left"/>
            </w:pPr>
            <w:r>
              <w:rPr>
                <w:rFonts w:ascii="Arial" w:cs="Arial" w:eastAsia="Arial" w:hAnsi="Arial"/>
                <w:b/>
                <w:bCs/>
                <w:color w:val="003B8E"/>
                <w:spacing w:val="25"/>
                <w:sz w:val="14"/>
                <w:szCs w:val="14"/>
              </w:rPr>
              <w:t xml:space="preserve">IT BU · Security Operations</w:t>
            </w:r>
          </w:p>
        </w:tc>
      </w:tr>
      <w:tr>
        <w:tc>
          <w:tcPr>
            <w:tcW w:type="dxa" w:w="800"/>
            <w:tcBorders>
              <w:top w:val="single" w:color="D6D9DE" w:sz="4"/>
              <w:left w:val="single" w:color="D6D9DE" w:sz="4"/>
              <w:bottom w:val="single" w:color="D6D9DE" w:sz="4"/>
              <w:right w:val="single" w:color="D6D9DE" w:sz="4"/>
            </w:tcBorders>
            <w:shd w:fill="F4F1E8" w:val="clear"/>
            <w:tcMar>
              <w:top w:type="dxa" w:w="70"/>
              <w:left w:type="dxa" w:w="160"/>
              <w:bottom w:type="dxa" w:w="70"/>
              <w:right w:type="dxa" w:w="80"/>
            </w:tcMar>
            <w:vAlign w:val="top"/>
          </w:tcPr>
          <w:p>
            <w:pPr>
              <w:spacing w:after="0" w:before="40"/>
            </w:pPr>
            <w:r>
              <w:rPr>
                <w:rFonts w:ascii="Arial" w:cs="Arial" w:eastAsia="Arial" w:hAnsi="Arial"/>
                <w:b/>
                <w:bCs/>
                <w:color w:val="C9A84C"/>
                <w:sz w:val="20"/>
                <w:szCs w:val="20"/>
              </w:rPr>
              <w:t xml:space="preserve">04</w:t>
            </w:r>
          </w:p>
        </w:tc>
        <w:tc>
          <w:tcPr>
            <w:tcW w:type="dxa" w:w="5680"/>
            <w:tcBorders>
              <w:top w:val="single" w:color="D6D9DE" w:sz="4"/>
              <w:left w:val="single" w:color="D6D9DE" w:sz="4"/>
              <w:bottom w:val="single" w:color="D6D9DE" w:sz="4"/>
              <w:right w:val="single" w:color="D6D9DE" w:sz="4"/>
            </w:tcBorders>
            <w:shd w:fill="F4F1E8" w:val="clear"/>
            <w:tcMar>
              <w:top w:type="dxa" w:w="70"/>
              <w:left w:type="dxa" w:w="80"/>
              <w:bottom w:type="dxa" w:w="70"/>
              <w:right w:type="dxa" w:w="160"/>
            </w:tcMar>
            <w:vAlign w:val="top"/>
          </w:tcPr>
          <w:p>
            <w:pPr>
              <w:spacing w:after="30" w:before="40"/>
            </w:pPr>
            <w:r>
              <w:rPr>
                <w:rFonts w:ascii="Arial" w:cs="Arial" w:eastAsia="Arial" w:hAnsi="Arial"/>
                <w:b/>
                <w:bCs/>
                <w:color w:val="0A1628"/>
                <w:sz w:val="20"/>
                <w:szCs w:val="20"/>
              </w:rPr>
              <w:t xml:space="preserve">Data Privacy Advisory</w:t>
            </w:r>
          </w:p>
          <w:p>
            <w:pPr>
              <w:spacing w:after="0" w:before="0" w:line="260"/>
              <w:jc w:val="left"/>
            </w:pPr>
            <w:r>
              <w:rPr>
                <w:rFonts w:ascii="Arial" w:cs="Arial" w:eastAsia="Arial" w:hAnsi="Arial"/>
                <w:color w:val="3B4A63"/>
                <w:sz w:val="16"/>
                <w:szCs w:val="16"/>
              </w:rPr>
              <w:t xml:space="preserve">PDPL, DPDP Act 2023, GDPR, and UAE Federal Decree-Law 45/2021 readiness. RoPA, DPIA, cross-border instruments, DPO-as-a-service.</w:t>
            </w:r>
          </w:p>
        </w:tc>
        <w:tc>
          <w:tcPr>
            <w:tcW w:type="dxa" w:w="3600"/>
            <w:tcBorders>
              <w:top w:val="single" w:color="D6D9DE" w:sz="4"/>
              <w:left w:val="single" w:color="D6D9DE" w:sz="4"/>
              <w:bottom w:val="single" w:color="D6D9DE" w:sz="4"/>
              <w:right w:val="single" w:color="D6D9DE" w:sz="4"/>
            </w:tcBorders>
            <w:shd w:fill="F4F1E8" w:val="clear"/>
            <w:tcMar>
              <w:top w:type="dxa" w:w="70"/>
              <w:left w:type="dxa" w:w="160"/>
              <w:bottom w:type="dxa" w:w="70"/>
              <w:right w:type="dxa" w:w="160"/>
            </w:tcMar>
            <w:vAlign w:val="top"/>
          </w:tcPr>
          <w:p>
            <w:pPr>
              <w:spacing w:after="0" w:before="0" w:line="300"/>
              <w:jc w:val="left"/>
            </w:pPr>
            <w:r>
              <w:rPr>
                <w:rFonts w:ascii="Arial" w:cs="Arial" w:eastAsia="Arial" w:hAnsi="Arial"/>
                <w:b/>
                <w:bCs/>
                <w:color w:val="003B8E"/>
                <w:spacing w:val="25"/>
                <w:sz w:val="14"/>
                <w:szCs w:val="14"/>
              </w:rPr>
              <w:t xml:space="preserve">Privacy BU · Compliance</w:t>
            </w:r>
          </w:p>
        </w:tc>
      </w:tr>
      <w:tr>
        <w:tc>
          <w:tcPr>
            <w:tcW w:type="dxa" w:w="800"/>
            <w:tcBorders>
              <w:top w:val="single" w:color="D6D9DE" w:sz="4"/>
              <w:left w:val="single" w:color="D6D9DE" w:sz="4"/>
              <w:bottom w:val="single" w:color="D6D9DE" w:sz="4"/>
              <w:right w:val="single" w:color="D6D9DE" w:sz="4"/>
            </w:tcBorders>
            <w:shd w:fill="FFFFFF" w:val="clear"/>
            <w:tcMar>
              <w:top w:type="dxa" w:w="70"/>
              <w:left w:type="dxa" w:w="160"/>
              <w:bottom w:type="dxa" w:w="70"/>
              <w:right w:type="dxa" w:w="80"/>
            </w:tcMar>
            <w:vAlign w:val="top"/>
          </w:tcPr>
          <w:p>
            <w:pPr>
              <w:spacing w:after="0" w:before="40"/>
            </w:pPr>
            <w:r>
              <w:rPr>
                <w:rFonts w:ascii="Arial" w:cs="Arial" w:eastAsia="Arial" w:hAnsi="Arial"/>
                <w:b/>
                <w:bCs/>
                <w:color w:val="C9A84C"/>
                <w:sz w:val="20"/>
                <w:szCs w:val="20"/>
              </w:rPr>
              <w:t xml:space="preserve">05</w:t>
            </w:r>
          </w:p>
        </w:tc>
        <w:tc>
          <w:tcPr>
            <w:tcW w:type="dxa" w:w="5680"/>
            <w:tcBorders>
              <w:top w:val="single" w:color="D6D9DE" w:sz="4"/>
              <w:left w:val="single" w:color="D6D9DE" w:sz="4"/>
              <w:bottom w:val="single" w:color="D6D9DE" w:sz="4"/>
              <w:right w:val="single" w:color="D6D9DE" w:sz="4"/>
            </w:tcBorders>
            <w:shd w:fill="FFFFFF" w:val="clear"/>
            <w:tcMar>
              <w:top w:type="dxa" w:w="70"/>
              <w:left w:type="dxa" w:w="80"/>
              <w:bottom w:type="dxa" w:w="70"/>
              <w:right w:type="dxa" w:w="160"/>
            </w:tcMar>
            <w:vAlign w:val="top"/>
          </w:tcPr>
          <w:p>
            <w:pPr>
              <w:spacing w:after="30" w:before="40"/>
            </w:pPr>
            <w:r>
              <w:rPr>
                <w:rFonts w:ascii="Arial" w:cs="Arial" w:eastAsia="Arial" w:hAnsi="Arial"/>
                <w:b/>
                <w:bCs/>
                <w:color w:val="0A1628"/>
                <w:sz w:val="20"/>
                <w:szCs w:val="20"/>
              </w:rPr>
              <w:t xml:space="preserve">Managed IT &amp; Business Services</w:t>
            </w:r>
          </w:p>
          <w:p>
            <w:pPr>
              <w:spacing w:after="0" w:before="0" w:line="260"/>
              <w:jc w:val="left"/>
            </w:pPr>
            <w:r>
              <w:rPr>
                <w:rFonts w:ascii="Arial" w:cs="Arial" w:eastAsia="Arial" w:hAnsi="Arial"/>
                <w:color w:val="3B4A63"/>
                <w:sz w:val="16"/>
                <w:szCs w:val="16"/>
              </w:rPr>
              <w:t xml:space="preserve">Sovereign service desks, managed infrastructure, business email, and managed connectivity for SLA-backed enterprise continuity.</w:t>
            </w:r>
          </w:p>
        </w:tc>
        <w:tc>
          <w:tcPr>
            <w:tcW w:type="dxa" w:w="3600"/>
            <w:tcBorders>
              <w:top w:val="single" w:color="D6D9DE" w:sz="4"/>
              <w:left w:val="single" w:color="D6D9DE" w:sz="4"/>
              <w:bottom w:val="single" w:color="D6D9DE" w:sz="4"/>
              <w:right w:val="single" w:color="D6D9DE" w:sz="4"/>
            </w:tcBorders>
            <w:shd w:fill="FFFFFF" w:val="clear"/>
            <w:tcMar>
              <w:top w:type="dxa" w:w="70"/>
              <w:left w:type="dxa" w:w="160"/>
              <w:bottom w:type="dxa" w:w="70"/>
              <w:right w:type="dxa" w:w="160"/>
            </w:tcMar>
            <w:vAlign w:val="top"/>
          </w:tcPr>
          <w:p>
            <w:pPr>
              <w:spacing w:after="0" w:before="0" w:line="300"/>
              <w:jc w:val="left"/>
            </w:pPr>
            <w:r>
              <w:rPr>
                <w:rFonts w:ascii="Arial" w:cs="Arial" w:eastAsia="Arial" w:hAnsi="Arial"/>
                <w:b/>
                <w:bCs/>
                <w:color w:val="003B8E"/>
                <w:spacing w:val="25"/>
                <w:sz w:val="14"/>
                <w:szCs w:val="14"/>
              </w:rPr>
              <w:t xml:space="preserve">IT BU · Managed Services</w:t>
            </w:r>
          </w:p>
        </w:tc>
      </w:tr>
      <w:tr>
        <w:tc>
          <w:tcPr>
            <w:tcW w:type="dxa" w:w="800"/>
            <w:tcBorders>
              <w:top w:val="single" w:color="D6D9DE" w:sz="4"/>
              <w:left w:val="single" w:color="D6D9DE" w:sz="4"/>
              <w:bottom w:val="single" w:color="D6D9DE" w:sz="4"/>
              <w:right w:val="single" w:color="D6D9DE" w:sz="4"/>
            </w:tcBorders>
            <w:shd w:fill="F4F1E8" w:val="clear"/>
            <w:tcMar>
              <w:top w:type="dxa" w:w="70"/>
              <w:left w:type="dxa" w:w="160"/>
              <w:bottom w:type="dxa" w:w="70"/>
              <w:right w:type="dxa" w:w="80"/>
            </w:tcMar>
            <w:vAlign w:val="top"/>
          </w:tcPr>
          <w:p>
            <w:pPr>
              <w:spacing w:after="0" w:before="40"/>
            </w:pPr>
            <w:r>
              <w:rPr>
                <w:rFonts w:ascii="Arial" w:cs="Arial" w:eastAsia="Arial" w:hAnsi="Arial"/>
                <w:b/>
                <w:bCs/>
                <w:color w:val="C9A84C"/>
                <w:sz w:val="20"/>
                <w:szCs w:val="20"/>
              </w:rPr>
              <w:t xml:space="preserve">06</w:t>
            </w:r>
          </w:p>
        </w:tc>
        <w:tc>
          <w:tcPr>
            <w:tcW w:type="dxa" w:w="5680"/>
            <w:tcBorders>
              <w:top w:val="single" w:color="D6D9DE" w:sz="4"/>
              <w:left w:val="single" w:color="D6D9DE" w:sz="4"/>
              <w:bottom w:val="single" w:color="D6D9DE" w:sz="4"/>
              <w:right w:val="single" w:color="D6D9DE" w:sz="4"/>
            </w:tcBorders>
            <w:shd w:fill="F4F1E8" w:val="clear"/>
            <w:tcMar>
              <w:top w:type="dxa" w:w="70"/>
              <w:left w:type="dxa" w:w="80"/>
              <w:bottom w:type="dxa" w:w="70"/>
              <w:right w:type="dxa" w:w="160"/>
            </w:tcMar>
            <w:vAlign w:val="top"/>
          </w:tcPr>
          <w:p>
            <w:pPr>
              <w:spacing w:after="30" w:before="40"/>
            </w:pPr>
            <w:r>
              <w:rPr>
                <w:rFonts w:ascii="Arial" w:cs="Arial" w:eastAsia="Arial" w:hAnsi="Arial"/>
                <w:b/>
                <w:bCs/>
                <w:color w:val="0A1628"/>
                <w:sz w:val="20"/>
                <w:szCs w:val="20"/>
              </w:rPr>
              <w:t xml:space="preserve">Business Applications &amp; ERP</w:t>
            </w:r>
          </w:p>
          <w:p>
            <w:pPr>
              <w:spacing w:after="0" w:before="0" w:line="260"/>
              <w:jc w:val="left"/>
            </w:pPr>
            <w:r>
              <w:rPr>
                <w:rFonts w:ascii="Arial" w:cs="Arial" w:eastAsia="Arial" w:hAnsi="Arial"/>
                <w:color w:val="3B4A63"/>
                <w:sz w:val="16"/>
                <w:szCs w:val="16"/>
              </w:rPr>
              <w:t xml:space="preserve">Odoo, Microsoft Dynamics 365 BC, ERPNext implementation. Multi-entity consolidation, ZATCA Phase 2, HRMS, CRM, Sales modules.</w:t>
            </w:r>
          </w:p>
        </w:tc>
        <w:tc>
          <w:tcPr>
            <w:tcW w:type="dxa" w:w="3600"/>
            <w:tcBorders>
              <w:top w:val="single" w:color="D6D9DE" w:sz="4"/>
              <w:left w:val="single" w:color="D6D9DE" w:sz="4"/>
              <w:bottom w:val="single" w:color="D6D9DE" w:sz="4"/>
              <w:right w:val="single" w:color="D6D9DE" w:sz="4"/>
            </w:tcBorders>
            <w:shd w:fill="F4F1E8" w:val="clear"/>
            <w:tcMar>
              <w:top w:type="dxa" w:w="70"/>
              <w:left w:type="dxa" w:w="160"/>
              <w:bottom w:type="dxa" w:w="70"/>
              <w:right w:type="dxa" w:w="160"/>
            </w:tcMar>
            <w:vAlign w:val="top"/>
          </w:tcPr>
          <w:p>
            <w:pPr>
              <w:spacing w:after="0" w:before="0" w:line="300"/>
              <w:jc w:val="left"/>
            </w:pPr>
            <w:r>
              <w:rPr>
                <w:rFonts w:ascii="Arial" w:cs="Arial" w:eastAsia="Arial" w:hAnsi="Arial"/>
                <w:b/>
                <w:bCs/>
                <w:color w:val="003B8E"/>
                <w:spacing w:val="25"/>
                <w:sz w:val="14"/>
                <w:szCs w:val="14"/>
              </w:rPr>
              <w:t xml:space="preserve">IT BU · Enterprise Apps</w:t>
            </w:r>
          </w:p>
        </w:tc>
      </w:tr>
      <w:tr>
        <w:tc>
          <w:tcPr>
            <w:tcW w:type="dxa" w:w="800"/>
            <w:tcBorders>
              <w:top w:val="single" w:color="D6D9DE" w:sz="4"/>
              <w:left w:val="single" w:color="D6D9DE" w:sz="4"/>
              <w:bottom w:val="single" w:color="D6D9DE" w:sz="4"/>
              <w:right w:val="single" w:color="D6D9DE" w:sz="4"/>
            </w:tcBorders>
            <w:shd w:fill="FFFFFF" w:val="clear"/>
            <w:tcMar>
              <w:top w:type="dxa" w:w="70"/>
              <w:left w:type="dxa" w:w="160"/>
              <w:bottom w:type="dxa" w:w="70"/>
              <w:right w:type="dxa" w:w="80"/>
            </w:tcMar>
            <w:vAlign w:val="top"/>
          </w:tcPr>
          <w:p>
            <w:pPr>
              <w:spacing w:after="0" w:before="40"/>
            </w:pPr>
            <w:r>
              <w:rPr>
                <w:rFonts w:ascii="Arial" w:cs="Arial" w:eastAsia="Arial" w:hAnsi="Arial"/>
                <w:b/>
                <w:bCs/>
                <w:color w:val="C9A84C"/>
                <w:sz w:val="20"/>
                <w:szCs w:val="20"/>
              </w:rPr>
              <w:t xml:space="preserve">07</w:t>
            </w:r>
          </w:p>
        </w:tc>
        <w:tc>
          <w:tcPr>
            <w:tcW w:type="dxa" w:w="5680"/>
            <w:tcBorders>
              <w:top w:val="single" w:color="D6D9DE" w:sz="4"/>
              <w:left w:val="single" w:color="D6D9DE" w:sz="4"/>
              <w:bottom w:val="single" w:color="D6D9DE" w:sz="4"/>
              <w:right w:val="single" w:color="D6D9DE" w:sz="4"/>
            </w:tcBorders>
            <w:shd w:fill="FFFFFF" w:val="clear"/>
            <w:tcMar>
              <w:top w:type="dxa" w:w="70"/>
              <w:left w:type="dxa" w:w="80"/>
              <w:bottom w:type="dxa" w:w="70"/>
              <w:right w:type="dxa" w:w="160"/>
            </w:tcMar>
            <w:vAlign w:val="top"/>
          </w:tcPr>
          <w:p>
            <w:pPr>
              <w:spacing w:after="30" w:before="40"/>
            </w:pPr>
            <w:r>
              <w:rPr>
                <w:rFonts w:ascii="Arial" w:cs="Arial" w:eastAsia="Arial" w:hAnsi="Arial"/>
                <w:b/>
                <w:bCs/>
                <w:color w:val="0A1628"/>
                <w:sz w:val="20"/>
                <w:szCs w:val="20"/>
              </w:rPr>
              <w:t xml:space="preserve">Digital &amp; Growth Services</w:t>
            </w:r>
          </w:p>
          <w:p>
            <w:pPr>
              <w:spacing w:after="0" w:before="0" w:line="260"/>
              <w:jc w:val="left"/>
            </w:pPr>
            <w:r>
              <w:rPr>
                <w:rFonts w:ascii="Arial" w:cs="Arial" w:eastAsia="Arial" w:hAnsi="Arial"/>
                <w:color w:val="3B4A63"/>
                <w:sz w:val="16"/>
                <w:szCs w:val="16"/>
              </w:rPr>
              <w:t xml:space="preserve">B2B marketing architecture, content engineering, search and attribution, brand systems for organisations operating across regulated markets.</w:t>
            </w:r>
          </w:p>
        </w:tc>
        <w:tc>
          <w:tcPr>
            <w:tcW w:type="dxa" w:w="3600"/>
            <w:tcBorders>
              <w:top w:val="single" w:color="D6D9DE" w:sz="4"/>
              <w:left w:val="single" w:color="D6D9DE" w:sz="4"/>
              <w:bottom w:val="single" w:color="D6D9DE" w:sz="4"/>
              <w:right w:val="single" w:color="D6D9DE" w:sz="4"/>
            </w:tcBorders>
            <w:shd w:fill="FFFFFF" w:val="clear"/>
            <w:tcMar>
              <w:top w:type="dxa" w:w="70"/>
              <w:left w:type="dxa" w:w="160"/>
              <w:bottom w:type="dxa" w:w="70"/>
              <w:right w:type="dxa" w:w="160"/>
            </w:tcMar>
            <w:vAlign w:val="top"/>
          </w:tcPr>
          <w:p>
            <w:pPr>
              <w:spacing w:after="0" w:before="0" w:line="300"/>
              <w:jc w:val="left"/>
            </w:pPr>
            <w:r>
              <w:rPr>
                <w:rFonts w:ascii="Arial" w:cs="Arial" w:eastAsia="Arial" w:hAnsi="Arial"/>
                <w:b/>
                <w:bCs/>
                <w:color w:val="003B8E"/>
                <w:spacing w:val="25"/>
                <w:sz w:val="14"/>
                <w:szCs w:val="14"/>
              </w:rPr>
              <w:t xml:space="preserve">IT BU · Digital Practice</w:t>
            </w:r>
          </w:p>
        </w:tc>
      </w:tr>
    </w:tbl>
    <w:p>
      <w:pPr>
        <w:spacing w:after="40" w:before="0"/>
      </w:pPr>
      <w:r>
        <w:rPr>
          <w:rFonts w:ascii="Arial" w:cs="Arial" w:eastAsia="Arial" w:hAnsi="Arial"/>
          <w:b/>
          <w:bCs/>
          <w:color w:val="C9A84C"/>
          <w:spacing w:val="30"/>
          <w:sz w:val="16"/>
          <w:szCs w:val="16"/>
        </w:rPr>
        <w:t xml:space="preserve">/ 04 (cont.)</w:t>
      </w:r>
    </w:p>
    <w:p>
      <w:pPr>
        <w:pStyle w:val="Heading1"/>
        <w:spacing w:after="240" w:before="480"/>
      </w:pPr>
      <w:r>
        <w:rPr>
          <w:rFonts w:ascii="Arial" w:cs="Arial" w:eastAsia="Arial" w:hAnsi="Arial"/>
          <w:b/>
          <w:bCs/>
          <w:color w:val="0A1628"/>
          <w:sz w:val="36"/>
          <w:szCs w:val="36"/>
        </w:rPr>
        <w:t xml:space="preserve">Service Capabilities — Detail</w:t>
      </w:r>
    </w:p>
    <w:p>
      <w:pPr>
        <w:pBdr>
          <w:bottom w:val="single" w:color="C9A84C" w:sz="8" w:space="1"/>
        </w:pBdr>
        <w:spacing w:after="120" w:before="120"/>
      </w:pPr>
      <w:r>
        <w:t xml:space="preserve"/>
      </w:r>
    </w:p>
    <w:p>
      <w:pPr>
        <w:spacing w:after="200" w:before="60" w:line="300"/>
        <w:jc w:val="left"/>
      </w:pPr>
      <w:r>
        <w:rPr>
          <w:rFonts w:ascii="Arial" w:cs="Arial" w:eastAsia="Arial" w:hAnsi="Arial"/>
          <w:color w:val="0A1628"/>
          <w:sz w:val="20"/>
          <w:szCs w:val="20"/>
        </w:rPr>
        <w:t xml:space="preserve">Detailed descriptions of each practice — core capabilities and the typical deliverables we leave behind at the end of an engagement.</w:t>
      </w:r>
    </w:p>
    <w:p>
      <w:pPr>
        <w:pBdr>
          <w:bottom w:val="single" w:color="C9A84C" w:sz="6" w:space="4"/>
        </w:pBdr>
        <w:spacing w:after="60" w:before="200"/>
      </w:pPr>
      <w:r>
        <w:rPr>
          <w:rFonts w:ascii="Arial" w:cs="Arial" w:eastAsia="Arial" w:hAnsi="Arial"/>
          <w:b/>
          <w:bCs/>
          <w:color w:val="C9A84C"/>
          <w:spacing w:val="25"/>
          <w:sz w:val="18"/>
          <w:szCs w:val="18"/>
        </w:rPr>
        <w:t xml:space="preserve">01</w:t>
      </w:r>
      <w:r>
        <w:rPr>
          <w:rFonts w:ascii="Arial" w:cs="Arial" w:eastAsia="Arial" w:hAnsi="Arial"/>
          <w:b/>
          <w:bCs/>
          <w:color w:val="0A1628"/>
          <w:sz w:val="24"/>
          <w:szCs w:val="24"/>
        </w:rPr>
        <w:t xml:space="preserve">   Custom Software Development</w:t>
      </w:r>
    </w:p>
    <w:p>
      <w:pPr>
        <w:spacing w:after="100" w:before="0" w:line="300"/>
        <w:jc w:val="left"/>
      </w:pPr>
      <w:r>
        <w:rPr>
          <w:rFonts w:ascii="Arial" w:cs="Arial" w:eastAsia="Arial" w:hAnsi="Arial"/>
          <w:color w:val="3B4A63"/>
          <w:sz w:val="18"/>
          <w:szCs w:val="18"/>
        </w:rPr>
        <w:t xml:space="preserve">Engineer enterprise-grade software systems for regulated environments — domain-driven, integration-aware, built to operate for a decade rather than survive a quarter.</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c>
          <w:tcPr>
            <w:tcW w:type="dxa" w:w="5040"/>
            <w:tcBorders>
              <w:top w:val="none" w:color="FFFFFF" w:sz="0"/>
              <w:left w:val="none" w:color="FFFFFF" w:sz="0"/>
              <w:bottom w:val="none" w:color="FFFFFF" w:sz="0"/>
              <w:right w:val="none" w:color="FFFFFF" w:sz="0"/>
            </w:tcBorders>
            <w:tcMar>
              <w:top w:type="dxa" w:w="60"/>
              <w:left w:type="dxa" w:w="0"/>
              <w:bottom w:type="dxa" w:w="60"/>
              <w:right w:type="dxa" w:w="200"/>
            </w:tcMar>
            <w:vAlign w:val="top"/>
          </w:tcPr>
          <w:p>
            <w:pPr>
              <w:spacing w:after="60" w:before="0"/>
            </w:pPr>
            <w:r>
              <w:rPr>
                <w:rFonts w:ascii="Arial" w:cs="Arial" w:eastAsia="Arial" w:hAnsi="Arial"/>
                <w:b/>
                <w:bCs/>
                <w:color w:val="003B8E"/>
                <w:spacing w:val="25"/>
                <w:sz w:val="14"/>
                <w:szCs w:val="14"/>
              </w:rPr>
              <w:t xml:space="preserve">CORE CAPABILITIES</w:t>
            </w:r>
          </w:p>
          <w:p>
            <w:pPr>
              <w:pStyle w:val="ListParagraph"/>
              <w:numPr>
                <w:ilvl w:val="0"/>
                <w:numId w:val="2"/>
              </w:numPr>
              <w:spacing w:after="60" w:before="30" w:line="280"/>
            </w:pPr>
            <w:r>
              <w:rPr>
                <w:rFonts w:ascii="Arial" w:cs="Arial" w:eastAsia="Arial" w:hAnsi="Arial"/>
                <w:color w:val="3B4A63"/>
                <w:sz w:val="16"/>
                <w:szCs w:val="16"/>
              </w:rPr>
              <w:t xml:space="preserve">Greenfield enterprise systems with domain-driven design</w:t>
            </w:r>
          </w:p>
          <w:p>
            <w:pPr>
              <w:pStyle w:val="ListParagraph"/>
              <w:numPr>
                <w:ilvl w:val="0"/>
                <w:numId w:val="2"/>
              </w:numPr>
              <w:spacing w:after="60" w:before="30" w:line="280"/>
            </w:pPr>
            <w:r>
              <w:rPr>
                <w:rFonts w:ascii="Arial" w:cs="Arial" w:eastAsia="Arial" w:hAnsi="Arial"/>
                <w:color w:val="3B4A63"/>
                <w:sz w:val="16"/>
                <w:szCs w:val="16"/>
              </w:rPr>
              <w:t xml:space="preserve">Ledger-grade financial and transactional platforms</w:t>
            </w:r>
          </w:p>
          <w:p>
            <w:pPr>
              <w:pStyle w:val="ListParagraph"/>
              <w:numPr>
                <w:ilvl w:val="0"/>
                <w:numId w:val="2"/>
              </w:numPr>
              <w:spacing w:after="60" w:before="30" w:line="280"/>
            </w:pPr>
            <w:r>
              <w:rPr>
                <w:rFonts w:ascii="Arial" w:cs="Arial" w:eastAsia="Arial" w:hAnsi="Arial"/>
                <w:color w:val="3B4A63"/>
                <w:sz w:val="16"/>
                <w:szCs w:val="16"/>
              </w:rPr>
              <w:t xml:space="preserve">Legacy modernisation: rebuild, replatform, refactor</w:t>
            </w:r>
          </w:p>
          <w:p>
            <w:pPr>
              <w:pStyle w:val="ListParagraph"/>
              <w:numPr>
                <w:ilvl w:val="0"/>
                <w:numId w:val="2"/>
              </w:numPr>
              <w:spacing w:after="60" w:before="30" w:line="280"/>
            </w:pPr>
            <w:r>
              <w:rPr>
                <w:rFonts w:ascii="Arial" w:cs="Arial" w:eastAsia="Arial" w:hAnsi="Arial"/>
                <w:color w:val="3B4A63"/>
                <w:sz w:val="16"/>
                <w:szCs w:val="16"/>
              </w:rPr>
              <w:t xml:space="preserve">Integration architecture and API estate management</w:t>
            </w:r>
          </w:p>
        </w:tc>
        <w:tc>
          <w:tcPr>
            <w:tcW w:type="dxa" w:w="5040"/>
            <w:tcBorders>
              <w:top w:val="none" w:color="FFFFFF" w:sz="0"/>
              <w:left w:val="none" w:color="FFFFFF" w:sz="0"/>
              <w:bottom w:val="none" w:color="FFFFFF" w:sz="0"/>
              <w:right w:val="none" w:color="FFFFFF" w:sz="0"/>
            </w:tcBorders>
            <w:tcMar>
              <w:top w:type="dxa" w:w="60"/>
              <w:left w:type="dxa" w:w="200"/>
              <w:bottom w:type="dxa" w:w="60"/>
              <w:right w:type="dxa" w:w="0"/>
            </w:tcMar>
            <w:vAlign w:val="top"/>
          </w:tcPr>
          <w:p>
            <w:pPr>
              <w:spacing w:after="60" w:before="0"/>
            </w:pPr>
            <w:r>
              <w:rPr>
                <w:rFonts w:ascii="Arial" w:cs="Arial" w:eastAsia="Arial" w:hAnsi="Arial"/>
                <w:b/>
                <w:bCs/>
                <w:color w:val="003B8E"/>
                <w:spacing w:val="25"/>
                <w:sz w:val="14"/>
                <w:szCs w:val="14"/>
              </w:rPr>
              <w:t xml:space="preserve">TYPICAL DELIVERABLES</w:t>
            </w:r>
          </w:p>
          <w:p>
            <w:pPr>
              <w:pStyle w:val="ListParagraph"/>
              <w:numPr>
                <w:ilvl w:val="0"/>
                <w:numId w:val="2"/>
              </w:numPr>
              <w:spacing w:after="60" w:before="30" w:line="280"/>
            </w:pPr>
            <w:r>
              <w:rPr>
                <w:rFonts w:ascii="Arial" w:cs="Arial" w:eastAsia="Arial" w:hAnsi="Arial"/>
                <w:color w:val="3B4A63"/>
                <w:sz w:val="16"/>
                <w:szCs w:val="16"/>
              </w:rPr>
              <w:t xml:space="preserve">Architecture decision records and technical design</w:t>
            </w:r>
          </w:p>
          <w:p>
            <w:pPr>
              <w:pStyle w:val="ListParagraph"/>
              <w:numPr>
                <w:ilvl w:val="0"/>
                <w:numId w:val="2"/>
              </w:numPr>
              <w:spacing w:after="60" w:before="30" w:line="280"/>
            </w:pPr>
            <w:r>
              <w:rPr>
                <w:rFonts w:ascii="Arial" w:cs="Arial" w:eastAsia="Arial" w:hAnsi="Arial"/>
                <w:color w:val="3B4A63"/>
                <w:sz w:val="16"/>
                <w:szCs w:val="16"/>
              </w:rPr>
              <w:t xml:space="preserve">Production codebase with engineering runbook</w:t>
            </w:r>
          </w:p>
          <w:p>
            <w:pPr>
              <w:pStyle w:val="ListParagraph"/>
              <w:numPr>
                <w:ilvl w:val="0"/>
                <w:numId w:val="2"/>
              </w:numPr>
              <w:spacing w:after="60" w:before="30" w:line="280"/>
            </w:pPr>
            <w:r>
              <w:rPr>
                <w:rFonts w:ascii="Arial" w:cs="Arial" w:eastAsia="Arial" w:hAnsi="Arial"/>
                <w:color w:val="3B4A63"/>
                <w:sz w:val="16"/>
                <w:szCs w:val="16"/>
              </w:rPr>
              <w:t xml:space="preserve">CI/CD pipelines and integration test suites</w:t>
            </w:r>
          </w:p>
          <w:p>
            <w:pPr>
              <w:pStyle w:val="ListParagraph"/>
              <w:numPr>
                <w:ilvl w:val="0"/>
                <w:numId w:val="2"/>
              </w:numPr>
              <w:spacing w:after="60" w:before="30" w:line="280"/>
            </w:pPr>
            <w:r>
              <w:rPr>
                <w:rFonts w:ascii="Arial" w:cs="Arial" w:eastAsia="Arial" w:hAnsi="Arial"/>
                <w:color w:val="3B4A63"/>
                <w:sz w:val="16"/>
                <w:szCs w:val="16"/>
              </w:rPr>
              <w:t xml:space="preserve">Operational handover and knowledge transfer</w:t>
            </w:r>
          </w:p>
        </w:tc>
      </w:tr>
    </w:tbl>
    <w:p>
      <w:pPr>
        <w:pBdr>
          <w:bottom w:val="single" w:color="C9A84C" w:sz="6" w:space="4"/>
        </w:pBdr>
        <w:spacing w:after="60" w:before="200"/>
      </w:pPr>
      <w:r>
        <w:rPr>
          <w:rFonts w:ascii="Arial" w:cs="Arial" w:eastAsia="Arial" w:hAnsi="Arial"/>
          <w:b/>
          <w:bCs/>
          <w:color w:val="C9A84C"/>
          <w:spacing w:val="25"/>
          <w:sz w:val="18"/>
          <w:szCs w:val="18"/>
        </w:rPr>
        <w:t xml:space="preserve">02</w:t>
      </w:r>
      <w:r>
        <w:rPr>
          <w:rFonts w:ascii="Arial" w:cs="Arial" w:eastAsia="Arial" w:hAnsi="Arial"/>
          <w:b/>
          <w:bCs/>
          <w:color w:val="0A1628"/>
          <w:sz w:val="24"/>
          <w:szCs w:val="24"/>
        </w:rPr>
        <w:t xml:space="preserve">   Platform Engineering Services</w:t>
      </w:r>
    </w:p>
    <w:p>
      <w:pPr>
        <w:spacing w:after="100" w:before="0" w:line="300"/>
        <w:jc w:val="left"/>
      </w:pPr>
      <w:r>
        <w:rPr>
          <w:rFonts w:ascii="Arial" w:cs="Arial" w:eastAsia="Arial" w:hAnsi="Arial"/>
          <w:color w:val="3B4A63"/>
          <w:sz w:val="18"/>
          <w:szCs w:val="18"/>
        </w:rPr>
        <w:t xml:space="preserve">Build internal developer platforms, sovereign cloud foundations, and operating models that allow large engineering organisations to ship reliably and at scale.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c>
          <w:tcPr>
            <w:tcW w:type="dxa" w:w="5040"/>
            <w:tcBorders>
              <w:top w:val="none" w:color="FFFFFF" w:sz="0"/>
              <w:left w:val="none" w:color="FFFFFF" w:sz="0"/>
              <w:bottom w:val="none" w:color="FFFFFF" w:sz="0"/>
              <w:right w:val="none" w:color="FFFFFF" w:sz="0"/>
            </w:tcBorders>
            <w:tcMar>
              <w:top w:type="dxa" w:w="60"/>
              <w:left w:type="dxa" w:w="0"/>
              <w:bottom w:type="dxa" w:w="60"/>
              <w:right w:type="dxa" w:w="200"/>
            </w:tcMar>
            <w:vAlign w:val="top"/>
          </w:tcPr>
          <w:p>
            <w:pPr>
              <w:spacing w:after="60" w:before="0"/>
            </w:pPr>
            <w:r>
              <w:rPr>
                <w:rFonts w:ascii="Arial" w:cs="Arial" w:eastAsia="Arial" w:hAnsi="Arial"/>
                <w:b/>
                <w:bCs/>
                <w:color w:val="003B8E"/>
                <w:spacing w:val="25"/>
                <w:sz w:val="14"/>
                <w:szCs w:val="14"/>
              </w:rPr>
              <w:t xml:space="preserve">CORE CAPABILITIES</w:t>
            </w:r>
          </w:p>
          <w:p>
            <w:pPr>
              <w:pStyle w:val="ListParagraph"/>
              <w:numPr>
                <w:ilvl w:val="0"/>
                <w:numId w:val="2"/>
              </w:numPr>
              <w:spacing w:after="60" w:before="30" w:line="280"/>
            </w:pPr>
            <w:r>
              <w:rPr>
                <w:rFonts w:ascii="Arial" w:cs="Arial" w:eastAsia="Arial" w:hAnsi="Arial"/>
                <w:color w:val="3B4A63"/>
                <w:sz w:val="16"/>
                <w:szCs w:val="16"/>
              </w:rPr>
              <w:t xml:space="preserve">Kubernetes architecture and multi-cluster operating models</w:t>
            </w:r>
          </w:p>
          <w:p>
            <w:pPr>
              <w:pStyle w:val="ListParagraph"/>
              <w:numPr>
                <w:ilvl w:val="0"/>
                <w:numId w:val="2"/>
              </w:numPr>
              <w:spacing w:after="60" w:before="30" w:line="280"/>
            </w:pPr>
            <w:r>
              <w:rPr>
                <w:rFonts w:ascii="Arial" w:cs="Arial" w:eastAsia="Arial" w:hAnsi="Arial"/>
                <w:color w:val="3B4A63"/>
                <w:sz w:val="16"/>
                <w:szCs w:val="16"/>
              </w:rPr>
              <w:t xml:space="preserve">Internal developer platforms (IDP) and golden-path tooling</w:t>
            </w:r>
          </w:p>
          <w:p>
            <w:pPr>
              <w:pStyle w:val="ListParagraph"/>
              <w:numPr>
                <w:ilvl w:val="0"/>
                <w:numId w:val="2"/>
              </w:numPr>
              <w:spacing w:after="60" w:before="30" w:line="280"/>
            </w:pPr>
            <w:r>
              <w:rPr>
                <w:rFonts w:ascii="Arial" w:cs="Arial" w:eastAsia="Arial" w:hAnsi="Arial"/>
                <w:color w:val="3B4A63"/>
                <w:sz w:val="16"/>
                <w:szCs w:val="16"/>
              </w:rPr>
              <w:t xml:space="preserve">Sovereign cloud deployments — KSA and India residency</w:t>
            </w:r>
          </w:p>
          <w:p>
            <w:pPr>
              <w:pStyle w:val="ListParagraph"/>
              <w:numPr>
                <w:ilvl w:val="0"/>
                <w:numId w:val="2"/>
              </w:numPr>
              <w:spacing w:after="60" w:before="30" w:line="280"/>
            </w:pPr>
            <w:r>
              <w:rPr>
                <w:rFonts w:ascii="Arial" w:cs="Arial" w:eastAsia="Arial" w:hAnsi="Arial"/>
                <w:color w:val="3B4A63"/>
                <w:sz w:val="16"/>
                <w:szCs w:val="16"/>
              </w:rPr>
              <w:t xml:space="preserve">Observability stacks and supply-chain security</w:t>
            </w:r>
          </w:p>
        </w:tc>
        <w:tc>
          <w:tcPr>
            <w:tcW w:type="dxa" w:w="5040"/>
            <w:tcBorders>
              <w:top w:val="none" w:color="FFFFFF" w:sz="0"/>
              <w:left w:val="none" w:color="FFFFFF" w:sz="0"/>
              <w:bottom w:val="none" w:color="FFFFFF" w:sz="0"/>
              <w:right w:val="none" w:color="FFFFFF" w:sz="0"/>
            </w:tcBorders>
            <w:tcMar>
              <w:top w:type="dxa" w:w="60"/>
              <w:left w:type="dxa" w:w="200"/>
              <w:bottom w:type="dxa" w:w="60"/>
              <w:right w:type="dxa" w:w="0"/>
            </w:tcMar>
            <w:vAlign w:val="top"/>
          </w:tcPr>
          <w:p>
            <w:pPr>
              <w:spacing w:after="60" w:before="0"/>
            </w:pPr>
            <w:r>
              <w:rPr>
                <w:rFonts w:ascii="Arial" w:cs="Arial" w:eastAsia="Arial" w:hAnsi="Arial"/>
                <w:b/>
                <w:bCs/>
                <w:color w:val="003B8E"/>
                <w:spacing w:val="25"/>
                <w:sz w:val="14"/>
                <w:szCs w:val="14"/>
              </w:rPr>
              <w:t xml:space="preserve">TYPICAL DELIVERABLES</w:t>
            </w:r>
          </w:p>
          <w:p>
            <w:pPr>
              <w:pStyle w:val="ListParagraph"/>
              <w:numPr>
                <w:ilvl w:val="0"/>
                <w:numId w:val="2"/>
              </w:numPr>
              <w:spacing w:after="60" w:before="30" w:line="280"/>
            </w:pPr>
            <w:r>
              <w:rPr>
                <w:rFonts w:ascii="Arial" w:cs="Arial" w:eastAsia="Arial" w:hAnsi="Arial"/>
                <w:color w:val="3B4A63"/>
                <w:sz w:val="16"/>
                <w:szCs w:val="16"/>
              </w:rPr>
              <w:t xml:space="preserve">Reference architecture for the platform</w:t>
            </w:r>
          </w:p>
          <w:p>
            <w:pPr>
              <w:pStyle w:val="ListParagraph"/>
              <w:numPr>
                <w:ilvl w:val="0"/>
                <w:numId w:val="2"/>
              </w:numPr>
              <w:spacing w:after="60" w:before="30" w:line="280"/>
            </w:pPr>
            <w:r>
              <w:rPr>
                <w:rFonts w:ascii="Arial" w:cs="Arial" w:eastAsia="Arial" w:hAnsi="Arial"/>
                <w:color w:val="3B4A63"/>
                <w:sz w:val="16"/>
                <w:szCs w:val="16"/>
              </w:rPr>
              <w:t xml:space="preserve">Production cluster definitions and policies</w:t>
            </w:r>
          </w:p>
          <w:p>
            <w:pPr>
              <w:pStyle w:val="ListParagraph"/>
              <w:numPr>
                <w:ilvl w:val="0"/>
                <w:numId w:val="2"/>
              </w:numPr>
              <w:spacing w:after="60" w:before="30" w:line="280"/>
            </w:pPr>
            <w:r>
              <w:rPr>
                <w:rFonts w:ascii="Arial" w:cs="Arial" w:eastAsia="Arial" w:hAnsi="Arial"/>
                <w:color w:val="3B4A63"/>
                <w:sz w:val="16"/>
                <w:szCs w:val="16"/>
              </w:rPr>
              <w:t xml:space="preserve">Developer self-service portal with golden paths</w:t>
            </w:r>
          </w:p>
          <w:p>
            <w:pPr>
              <w:pStyle w:val="ListParagraph"/>
              <w:numPr>
                <w:ilvl w:val="0"/>
                <w:numId w:val="2"/>
              </w:numPr>
              <w:spacing w:after="60" w:before="30" w:line="280"/>
            </w:pPr>
            <w:r>
              <w:rPr>
                <w:rFonts w:ascii="Arial" w:cs="Arial" w:eastAsia="Arial" w:hAnsi="Arial"/>
                <w:color w:val="3B4A63"/>
                <w:sz w:val="16"/>
                <w:szCs w:val="16"/>
              </w:rPr>
              <w:t xml:space="preserve">Platform team operating model and capacity plan</w:t>
            </w:r>
          </w:p>
        </w:tc>
      </w:tr>
    </w:tbl>
    <w:p>
      <w:pPr>
        <w:pBdr>
          <w:bottom w:val="single" w:color="C9A84C" w:sz="6" w:space="4"/>
        </w:pBdr>
        <w:spacing w:after="60" w:before="200"/>
      </w:pPr>
      <w:r>
        <w:rPr>
          <w:rFonts w:ascii="Arial" w:cs="Arial" w:eastAsia="Arial" w:hAnsi="Arial"/>
          <w:b/>
          <w:bCs/>
          <w:color w:val="C9A84C"/>
          <w:spacing w:val="25"/>
          <w:sz w:val="18"/>
          <w:szCs w:val="18"/>
        </w:rPr>
        <w:t xml:space="preserve">03</w:t>
      </w:r>
      <w:r>
        <w:rPr>
          <w:rFonts w:ascii="Arial" w:cs="Arial" w:eastAsia="Arial" w:hAnsi="Arial"/>
          <w:b/>
          <w:bCs/>
          <w:color w:val="0A1628"/>
          <w:sz w:val="24"/>
          <w:szCs w:val="24"/>
        </w:rPr>
        <w:t xml:space="preserve">   Cybersecurity &amp; Compliance</w:t>
      </w:r>
    </w:p>
    <w:p>
      <w:pPr>
        <w:spacing w:after="100" w:before="0" w:line="300"/>
        <w:jc w:val="left"/>
      </w:pPr>
      <w:r>
        <w:rPr>
          <w:rFonts w:ascii="Arial" w:cs="Arial" w:eastAsia="Arial" w:hAnsi="Arial"/>
          <w:color w:val="3B4A63"/>
          <w:sz w:val="18"/>
          <w:szCs w:val="18"/>
        </w:rPr>
        <w:t xml:space="preserve">Architect, deliver, and operate the security posture our regulated clients are required to maintain — measured against the frameworks of the regulators they answer to.</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c>
          <w:tcPr>
            <w:tcW w:type="dxa" w:w="5040"/>
            <w:tcBorders>
              <w:top w:val="none" w:color="FFFFFF" w:sz="0"/>
              <w:left w:val="none" w:color="FFFFFF" w:sz="0"/>
              <w:bottom w:val="none" w:color="FFFFFF" w:sz="0"/>
              <w:right w:val="none" w:color="FFFFFF" w:sz="0"/>
            </w:tcBorders>
            <w:tcMar>
              <w:top w:type="dxa" w:w="60"/>
              <w:left w:type="dxa" w:w="0"/>
              <w:bottom w:type="dxa" w:w="60"/>
              <w:right w:type="dxa" w:w="200"/>
            </w:tcMar>
            <w:vAlign w:val="top"/>
          </w:tcPr>
          <w:p>
            <w:pPr>
              <w:spacing w:after="60" w:before="0"/>
            </w:pPr>
            <w:r>
              <w:rPr>
                <w:rFonts w:ascii="Arial" w:cs="Arial" w:eastAsia="Arial" w:hAnsi="Arial"/>
                <w:b/>
                <w:bCs/>
                <w:color w:val="003B8E"/>
                <w:spacing w:val="25"/>
                <w:sz w:val="14"/>
                <w:szCs w:val="14"/>
              </w:rPr>
              <w:t xml:space="preserve">CORE CAPABILITIES</w:t>
            </w:r>
          </w:p>
          <w:p>
            <w:pPr>
              <w:pStyle w:val="ListParagraph"/>
              <w:numPr>
                <w:ilvl w:val="0"/>
                <w:numId w:val="2"/>
              </w:numPr>
              <w:spacing w:after="60" w:before="30" w:line="280"/>
            </w:pPr>
            <w:r>
              <w:rPr>
                <w:rFonts w:ascii="Arial" w:cs="Arial" w:eastAsia="Arial" w:hAnsi="Arial"/>
                <w:color w:val="3B4A63"/>
                <w:sz w:val="16"/>
                <w:szCs w:val="16"/>
              </w:rPr>
              <w:t xml:space="preserve">Sovereign SOC architecture and managed detection/response</w:t>
            </w:r>
          </w:p>
          <w:p>
            <w:pPr>
              <w:pStyle w:val="ListParagraph"/>
              <w:numPr>
                <w:ilvl w:val="0"/>
                <w:numId w:val="2"/>
              </w:numPr>
              <w:spacing w:after="60" w:before="30" w:line="280"/>
            </w:pPr>
            <w:r>
              <w:rPr>
                <w:rFonts w:ascii="Arial" w:cs="Arial" w:eastAsia="Arial" w:hAnsi="Arial"/>
                <w:color w:val="3B4A63"/>
                <w:sz w:val="16"/>
                <w:szCs w:val="16"/>
              </w:rPr>
              <w:t xml:space="preserve">SAMA, NCA, RBI cybersecurity framework alignment</w:t>
            </w:r>
          </w:p>
          <w:p>
            <w:pPr>
              <w:pStyle w:val="ListParagraph"/>
              <w:numPr>
                <w:ilvl w:val="0"/>
                <w:numId w:val="2"/>
              </w:numPr>
              <w:spacing w:after="60" w:before="30" w:line="280"/>
            </w:pPr>
            <w:r>
              <w:rPr>
                <w:rFonts w:ascii="Arial" w:cs="Arial" w:eastAsia="Arial" w:hAnsi="Arial"/>
                <w:color w:val="3B4A63"/>
                <w:sz w:val="16"/>
                <w:szCs w:val="16"/>
              </w:rPr>
              <w:t xml:space="preserve">ISO 27001 implementation and audit readiness</w:t>
            </w:r>
          </w:p>
          <w:p>
            <w:pPr>
              <w:pStyle w:val="ListParagraph"/>
              <w:numPr>
                <w:ilvl w:val="0"/>
                <w:numId w:val="2"/>
              </w:numPr>
              <w:spacing w:after="60" w:before="30" w:line="280"/>
            </w:pPr>
            <w:r>
              <w:rPr>
                <w:rFonts w:ascii="Arial" w:cs="Arial" w:eastAsia="Arial" w:hAnsi="Arial"/>
                <w:color w:val="3B4A63"/>
                <w:sz w:val="16"/>
                <w:szCs w:val="16"/>
              </w:rPr>
              <w:t xml:space="preserve">Zero-trust architecture and identity-first programmes</w:t>
            </w:r>
          </w:p>
        </w:tc>
        <w:tc>
          <w:tcPr>
            <w:tcW w:type="dxa" w:w="5040"/>
            <w:tcBorders>
              <w:top w:val="none" w:color="FFFFFF" w:sz="0"/>
              <w:left w:val="none" w:color="FFFFFF" w:sz="0"/>
              <w:bottom w:val="none" w:color="FFFFFF" w:sz="0"/>
              <w:right w:val="none" w:color="FFFFFF" w:sz="0"/>
            </w:tcBorders>
            <w:tcMar>
              <w:top w:type="dxa" w:w="60"/>
              <w:left w:type="dxa" w:w="200"/>
              <w:bottom w:type="dxa" w:w="60"/>
              <w:right w:type="dxa" w:w="0"/>
            </w:tcMar>
            <w:vAlign w:val="top"/>
          </w:tcPr>
          <w:p>
            <w:pPr>
              <w:spacing w:after="60" w:before="0"/>
            </w:pPr>
            <w:r>
              <w:rPr>
                <w:rFonts w:ascii="Arial" w:cs="Arial" w:eastAsia="Arial" w:hAnsi="Arial"/>
                <w:b/>
                <w:bCs/>
                <w:color w:val="003B8E"/>
                <w:spacing w:val="25"/>
                <w:sz w:val="14"/>
                <w:szCs w:val="14"/>
              </w:rPr>
              <w:t xml:space="preserve">TYPICAL DELIVERABLES</w:t>
            </w:r>
          </w:p>
          <w:p>
            <w:pPr>
              <w:pStyle w:val="ListParagraph"/>
              <w:numPr>
                <w:ilvl w:val="0"/>
                <w:numId w:val="2"/>
              </w:numPr>
              <w:spacing w:after="60" w:before="30" w:line="280"/>
            </w:pPr>
            <w:r>
              <w:rPr>
                <w:rFonts w:ascii="Arial" w:cs="Arial" w:eastAsia="Arial" w:hAnsi="Arial"/>
                <w:color w:val="3B4A63"/>
                <w:sz w:val="16"/>
                <w:szCs w:val="16"/>
              </w:rPr>
              <w:t xml:space="preserve">Threat model, control mapping, gap-assessment report</w:t>
            </w:r>
          </w:p>
          <w:p>
            <w:pPr>
              <w:pStyle w:val="ListParagraph"/>
              <w:numPr>
                <w:ilvl w:val="0"/>
                <w:numId w:val="2"/>
              </w:numPr>
              <w:spacing w:after="60" w:before="30" w:line="280"/>
            </w:pPr>
            <w:r>
              <w:rPr>
                <w:rFonts w:ascii="Arial" w:cs="Arial" w:eastAsia="Arial" w:hAnsi="Arial"/>
                <w:color w:val="3B4A63"/>
                <w:sz w:val="16"/>
                <w:szCs w:val="16"/>
              </w:rPr>
              <w:t xml:space="preserve">Reference architecture for SOC operations</w:t>
            </w:r>
          </w:p>
          <w:p>
            <w:pPr>
              <w:pStyle w:val="ListParagraph"/>
              <w:numPr>
                <w:ilvl w:val="0"/>
                <w:numId w:val="2"/>
              </w:numPr>
              <w:spacing w:after="60" w:before="30" w:line="280"/>
            </w:pPr>
            <w:r>
              <w:rPr>
                <w:rFonts w:ascii="Arial" w:cs="Arial" w:eastAsia="Arial" w:hAnsi="Arial"/>
                <w:color w:val="3B4A63"/>
                <w:sz w:val="16"/>
                <w:szCs w:val="16"/>
              </w:rPr>
              <w:t xml:space="preserve">Operational runbooks: detection, response, recovery</w:t>
            </w:r>
          </w:p>
          <w:p>
            <w:pPr>
              <w:pStyle w:val="ListParagraph"/>
              <w:numPr>
                <w:ilvl w:val="0"/>
                <w:numId w:val="2"/>
              </w:numPr>
              <w:spacing w:after="60" w:before="30" w:line="280"/>
            </w:pPr>
            <w:r>
              <w:rPr>
                <w:rFonts w:ascii="Arial" w:cs="Arial" w:eastAsia="Arial" w:hAnsi="Arial"/>
                <w:color w:val="3B4A63"/>
                <w:sz w:val="16"/>
                <w:szCs w:val="16"/>
              </w:rPr>
              <w:t xml:space="preserve">Audit binders aligned to regulator-specific framework</w:t>
            </w:r>
          </w:p>
        </w:tc>
      </w:tr>
    </w:tbl>
    <w:p>
      <w:pPr>
        <w:pBdr>
          <w:bottom w:val="single" w:color="C9A84C" w:sz="6" w:space="4"/>
        </w:pBdr>
        <w:spacing w:after="60" w:before="200"/>
      </w:pPr>
      <w:r>
        <w:rPr>
          <w:rFonts w:ascii="Arial" w:cs="Arial" w:eastAsia="Arial" w:hAnsi="Arial"/>
          <w:b/>
          <w:bCs/>
          <w:color w:val="C9A84C"/>
          <w:spacing w:val="25"/>
          <w:sz w:val="18"/>
          <w:szCs w:val="18"/>
        </w:rPr>
        <w:t xml:space="preserve">04</w:t>
      </w:r>
      <w:r>
        <w:rPr>
          <w:rFonts w:ascii="Arial" w:cs="Arial" w:eastAsia="Arial" w:hAnsi="Arial"/>
          <w:b/>
          <w:bCs/>
          <w:color w:val="0A1628"/>
          <w:sz w:val="24"/>
          <w:szCs w:val="24"/>
        </w:rPr>
        <w:t xml:space="preserve">   Data Privacy Advisory</w:t>
      </w:r>
    </w:p>
    <w:p>
      <w:pPr>
        <w:spacing w:after="100" w:before="0" w:line="300"/>
        <w:jc w:val="left"/>
      </w:pPr>
      <w:r>
        <w:rPr>
          <w:rFonts w:ascii="Arial" w:cs="Arial" w:eastAsia="Arial" w:hAnsi="Arial"/>
          <w:color w:val="3B4A63"/>
          <w:sz w:val="18"/>
          <w:szCs w:val="18"/>
        </w:rPr>
        <w:t xml:space="preserve">A dedicated business unit running PDPL, DPDP, GDPR, and UAE Federal Decree-Law 45/2021 readiness programmes. Practitioner-led, jurisdiction-aware, audit-grade.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c>
          <w:tcPr>
            <w:tcW w:type="dxa" w:w="5040"/>
            <w:tcBorders>
              <w:top w:val="none" w:color="FFFFFF" w:sz="0"/>
              <w:left w:val="none" w:color="FFFFFF" w:sz="0"/>
              <w:bottom w:val="none" w:color="FFFFFF" w:sz="0"/>
              <w:right w:val="none" w:color="FFFFFF" w:sz="0"/>
            </w:tcBorders>
            <w:tcMar>
              <w:top w:type="dxa" w:w="60"/>
              <w:left w:type="dxa" w:w="0"/>
              <w:bottom w:type="dxa" w:w="60"/>
              <w:right w:type="dxa" w:w="200"/>
            </w:tcMar>
            <w:vAlign w:val="top"/>
          </w:tcPr>
          <w:p>
            <w:pPr>
              <w:spacing w:after="60" w:before="0"/>
            </w:pPr>
            <w:r>
              <w:rPr>
                <w:rFonts w:ascii="Arial" w:cs="Arial" w:eastAsia="Arial" w:hAnsi="Arial"/>
                <w:b/>
                <w:bCs/>
                <w:color w:val="003B8E"/>
                <w:spacing w:val="25"/>
                <w:sz w:val="14"/>
                <w:szCs w:val="14"/>
              </w:rPr>
              <w:t xml:space="preserve">CORE CAPABILITIES</w:t>
            </w:r>
          </w:p>
          <w:p>
            <w:pPr>
              <w:pStyle w:val="ListParagraph"/>
              <w:numPr>
                <w:ilvl w:val="0"/>
                <w:numId w:val="2"/>
              </w:numPr>
              <w:spacing w:after="60" w:before="30" w:line="280"/>
            </w:pPr>
            <w:r>
              <w:rPr>
                <w:rFonts w:ascii="Arial" w:cs="Arial" w:eastAsia="Arial" w:hAnsi="Arial"/>
                <w:color w:val="3B4A63"/>
                <w:sz w:val="16"/>
                <w:szCs w:val="16"/>
              </w:rPr>
              <w:t xml:space="preserve">KSA PDPL operational readiness and DPO advisory</w:t>
            </w:r>
          </w:p>
          <w:p>
            <w:pPr>
              <w:pStyle w:val="ListParagraph"/>
              <w:numPr>
                <w:ilvl w:val="0"/>
                <w:numId w:val="2"/>
              </w:numPr>
              <w:spacing w:after="60" w:before="30" w:line="280"/>
            </w:pPr>
            <w:r>
              <w:rPr>
                <w:rFonts w:ascii="Arial" w:cs="Arial" w:eastAsia="Arial" w:hAnsi="Arial"/>
                <w:color w:val="3B4A63"/>
                <w:sz w:val="16"/>
                <w:szCs w:val="16"/>
              </w:rPr>
              <w:t xml:space="preserve">India DPDP Act 2023 implementation programmes</w:t>
            </w:r>
          </w:p>
          <w:p>
            <w:pPr>
              <w:pStyle w:val="ListParagraph"/>
              <w:numPr>
                <w:ilvl w:val="0"/>
                <w:numId w:val="2"/>
              </w:numPr>
              <w:spacing w:after="60" w:before="30" w:line="280"/>
            </w:pPr>
            <w:r>
              <w:rPr>
                <w:rFonts w:ascii="Arial" w:cs="Arial" w:eastAsia="Arial" w:hAnsi="Arial"/>
                <w:color w:val="3B4A63"/>
                <w:sz w:val="16"/>
                <w:szCs w:val="16"/>
              </w:rPr>
              <w:t xml:space="preserve">GDPR alignment for clients with EU data subjects</w:t>
            </w:r>
          </w:p>
          <w:p>
            <w:pPr>
              <w:pStyle w:val="ListParagraph"/>
              <w:numPr>
                <w:ilvl w:val="0"/>
                <w:numId w:val="2"/>
              </w:numPr>
              <w:spacing w:after="60" w:before="30" w:line="280"/>
            </w:pPr>
            <w:r>
              <w:rPr>
                <w:rFonts w:ascii="Arial" w:cs="Arial" w:eastAsia="Arial" w:hAnsi="Arial"/>
                <w:color w:val="3B4A63"/>
                <w:sz w:val="16"/>
                <w:szCs w:val="16"/>
              </w:rPr>
              <w:t xml:space="preserve">Cross-border transfer instruments and DPIA workflows</w:t>
            </w:r>
          </w:p>
        </w:tc>
        <w:tc>
          <w:tcPr>
            <w:tcW w:type="dxa" w:w="5040"/>
            <w:tcBorders>
              <w:top w:val="none" w:color="FFFFFF" w:sz="0"/>
              <w:left w:val="none" w:color="FFFFFF" w:sz="0"/>
              <w:bottom w:val="none" w:color="FFFFFF" w:sz="0"/>
              <w:right w:val="none" w:color="FFFFFF" w:sz="0"/>
            </w:tcBorders>
            <w:tcMar>
              <w:top w:type="dxa" w:w="60"/>
              <w:left w:type="dxa" w:w="200"/>
              <w:bottom w:type="dxa" w:w="60"/>
              <w:right w:type="dxa" w:w="0"/>
            </w:tcMar>
            <w:vAlign w:val="top"/>
          </w:tcPr>
          <w:p>
            <w:pPr>
              <w:spacing w:after="60" w:before="0"/>
            </w:pPr>
            <w:r>
              <w:rPr>
                <w:rFonts w:ascii="Arial" w:cs="Arial" w:eastAsia="Arial" w:hAnsi="Arial"/>
                <w:b/>
                <w:bCs/>
                <w:color w:val="003B8E"/>
                <w:spacing w:val="25"/>
                <w:sz w:val="14"/>
                <w:szCs w:val="14"/>
              </w:rPr>
              <w:t xml:space="preserve">TYPICAL DELIVERABLES</w:t>
            </w:r>
          </w:p>
          <w:p>
            <w:pPr>
              <w:pStyle w:val="ListParagraph"/>
              <w:numPr>
                <w:ilvl w:val="0"/>
                <w:numId w:val="2"/>
              </w:numPr>
              <w:spacing w:after="60" w:before="30" w:line="280"/>
            </w:pPr>
            <w:r>
              <w:rPr>
                <w:rFonts w:ascii="Arial" w:cs="Arial" w:eastAsia="Arial" w:hAnsi="Arial"/>
                <w:color w:val="3B4A63"/>
                <w:sz w:val="16"/>
                <w:szCs w:val="16"/>
              </w:rPr>
              <w:t xml:space="preserve">Records of Processing Activity (RoPA) baseline</w:t>
            </w:r>
          </w:p>
          <w:p>
            <w:pPr>
              <w:pStyle w:val="ListParagraph"/>
              <w:numPr>
                <w:ilvl w:val="0"/>
                <w:numId w:val="2"/>
              </w:numPr>
              <w:spacing w:after="60" w:before="30" w:line="280"/>
            </w:pPr>
            <w:r>
              <w:rPr>
                <w:rFonts w:ascii="Arial" w:cs="Arial" w:eastAsia="Arial" w:hAnsi="Arial"/>
                <w:color w:val="3B4A63"/>
                <w:sz w:val="16"/>
                <w:szCs w:val="16"/>
              </w:rPr>
              <w:t xml:space="preserve">Data Protection Impact Assessments (DPIA)</w:t>
            </w:r>
          </w:p>
          <w:p>
            <w:pPr>
              <w:pStyle w:val="ListParagraph"/>
              <w:numPr>
                <w:ilvl w:val="0"/>
                <w:numId w:val="2"/>
              </w:numPr>
              <w:spacing w:after="60" w:before="30" w:line="280"/>
            </w:pPr>
            <w:r>
              <w:rPr>
                <w:rFonts w:ascii="Arial" w:cs="Arial" w:eastAsia="Arial" w:hAnsi="Arial"/>
                <w:color w:val="3B4A63"/>
                <w:sz w:val="16"/>
                <w:szCs w:val="16"/>
              </w:rPr>
              <w:t xml:space="preserve">Standard Contractual Clauses and BCR documentation</w:t>
            </w:r>
          </w:p>
          <w:p>
            <w:pPr>
              <w:pStyle w:val="ListParagraph"/>
              <w:numPr>
                <w:ilvl w:val="0"/>
                <w:numId w:val="2"/>
              </w:numPr>
              <w:spacing w:after="60" w:before="30" w:line="280"/>
            </w:pPr>
            <w:r>
              <w:rPr>
                <w:rFonts w:ascii="Arial" w:cs="Arial" w:eastAsia="Arial" w:hAnsi="Arial"/>
                <w:color w:val="3B4A63"/>
                <w:sz w:val="16"/>
                <w:szCs w:val="16"/>
              </w:rPr>
              <w:t xml:space="preserve">Privacy operating model and DPO function activation</w:t>
            </w:r>
          </w:p>
        </w:tc>
      </w:tr>
    </w:tbl>
    <w:p>
      <w:pPr>
        <w:spacing w:after="40" w:before="0"/>
      </w:pPr>
      <w:r>
        <w:rPr>
          <w:rFonts w:ascii="Arial" w:cs="Arial" w:eastAsia="Arial" w:hAnsi="Arial"/>
          <w:b/>
          <w:bCs/>
          <w:color w:val="C9A84C"/>
          <w:spacing w:val="30"/>
          <w:sz w:val="16"/>
          <w:szCs w:val="16"/>
        </w:rPr>
        <w:t xml:space="preserve">/ 04 (cont.)</w:t>
      </w:r>
    </w:p>
    <w:p>
      <w:pPr>
        <w:pStyle w:val="Heading1"/>
        <w:spacing w:after="240" w:before="480"/>
      </w:pPr>
      <w:r>
        <w:rPr>
          <w:rFonts w:ascii="Arial" w:cs="Arial" w:eastAsia="Arial" w:hAnsi="Arial"/>
          <w:b/>
          <w:bCs/>
          <w:color w:val="0A1628"/>
          <w:sz w:val="36"/>
          <w:szCs w:val="36"/>
        </w:rPr>
        <w:t xml:space="preserve">Service Capabilities — Detail</w:t>
      </w:r>
    </w:p>
    <w:p>
      <w:pPr>
        <w:pBdr>
          <w:bottom w:val="single" w:color="C9A84C" w:sz="8" w:space="1"/>
        </w:pBdr>
        <w:spacing w:after="120" w:before="120"/>
      </w:pPr>
      <w:r>
        <w:t xml:space="preserve"/>
      </w:r>
    </w:p>
    <w:p>
      <w:pPr>
        <w:pBdr>
          <w:bottom w:val="single" w:color="C9A84C" w:sz="6" w:space="4"/>
        </w:pBdr>
        <w:spacing w:after="60" w:before="200"/>
      </w:pPr>
      <w:r>
        <w:rPr>
          <w:rFonts w:ascii="Arial" w:cs="Arial" w:eastAsia="Arial" w:hAnsi="Arial"/>
          <w:b/>
          <w:bCs/>
          <w:color w:val="C9A84C"/>
          <w:spacing w:val="25"/>
          <w:sz w:val="18"/>
          <w:szCs w:val="18"/>
        </w:rPr>
        <w:t xml:space="preserve">05</w:t>
      </w:r>
      <w:r>
        <w:rPr>
          <w:rFonts w:ascii="Arial" w:cs="Arial" w:eastAsia="Arial" w:hAnsi="Arial"/>
          <w:b/>
          <w:bCs/>
          <w:color w:val="0A1628"/>
          <w:sz w:val="24"/>
          <w:szCs w:val="24"/>
        </w:rPr>
        <w:t xml:space="preserve">   Managed IT &amp; Business Services</w:t>
      </w:r>
    </w:p>
    <w:p>
      <w:pPr>
        <w:spacing w:after="100" w:before="0" w:line="300"/>
        <w:jc w:val="left"/>
      </w:pPr>
      <w:r>
        <w:rPr>
          <w:rFonts w:ascii="Arial" w:cs="Arial" w:eastAsia="Arial" w:hAnsi="Arial"/>
          <w:color w:val="3B4A63"/>
          <w:sz w:val="18"/>
          <w:szCs w:val="18"/>
        </w:rPr>
        <w:t xml:space="preserve">Operate sovereign service desks, managed infrastructure, business email and domain services, and managed connectivity for clients requiring SLA-backed continuity.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c>
          <w:tcPr>
            <w:tcW w:type="dxa" w:w="5040"/>
            <w:tcBorders>
              <w:top w:val="none" w:color="FFFFFF" w:sz="0"/>
              <w:left w:val="none" w:color="FFFFFF" w:sz="0"/>
              <w:bottom w:val="none" w:color="FFFFFF" w:sz="0"/>
              <w:right w:val="none" w:color="FFFFFF" w:sz="0"/>
            </w:tcBorders>
            <w:tcMar>
              <w:top w:type="dxa" w:w="60"/>
              <w:left w:type="dxa" w:w="0"/>
              <w:bottom w:type="dxa" w:w="60"/>
              <w:right w:type="dxa" w:w="200"/>
            </w:tcMar>
            <w:vAlign w:val="top"/>
          </w:tcPr>
          <w:p>
            <w:pPr>
              <w:spacing w:after="60" w:before="0"/>
            </w:pPr>
            <w:r>
              <w:rPr>
                <w:rFonts w:ascii="Arial" w:cs="Arial" w:eastAsia="Arial" w:hAnsi="Arial"/>
                <w:b/>
                <w:bCs/>
                <w:color w:val="003B8E"/>
                <w:spacing w:val="25"/>
                <w:sz w:val="14"/>
                <w:szCs w:val="14"/>
              </w:rPr>
              <w:t xml:space="preserve">CORE CAPABILITIES</w:t>
            </w:r>
          </w:p>
          <w:p>
            <w:pPr>
              <w:pStyle w:val="ListParagraph"/>
              <w:numPr>
                <w:ilvl w:val="0"/>
                <w:numId w:val="2"/>
              </w:numPr>
              <w:spacing w:after="60" w:before="30" w:line="280"/>
            </w:pPr>
            <w:r>
              <w:rPr>
                <w:rFonts w:ascii="Arial" w:cs="Arial" w:eastAsia="Arial" w:hAnsi="Arial"/>
                <w:color w:val="3B4A63"/>
                <w:sz w:val="16"/>
                <w:szCs w:val="16"/>
              </w:rPr>
              <w:t xml:space="preserve">Sovereign service desk with regional analyst coverage</w:t>
            </w:r>
          </w:p>
          <w:p>
            <w:pPr>
              <w:pStyle w:val="ListParagraph"/>
              <w:numPr>
                <w:ilvl w:val="0"/>
                <w:numId w:val="2"/>
              </w:numPr>
              <w:spacing w:after="60" w:before="30" w:line="280"/>
            </w:pPr>
            <w:r>
              <w:rPr>
                <w:rFonts w:ascii="Arial" w:cs="Arial" w:eastAsia="Arial" w:hAnsi="Arial"/>
                <w:color w:val="3B4A63"/>
                <w:sz w:val="16"/>
                <w:szCs w:val="16"/>
              </w:rPr>
              <w:t xml:space="preserve">Managed infrastructure: server estate, network, virtualisation</w:t>
            </w:r>
          </w:p>
          <w:p>
            <w:pPr>
              <w:pStyle w:val="ListParagraph"/>
              <w:numPr>
                <w:ilvl w:val="0"/>
                <w:numId w:val="2"/>
              </w:numPr>
              <w:spacing w:after="60" w:before="30" w:line="280"/>
            </w:pPr>
            <w:r>
              <w:rPr>
                <w:rFonts w:ascii="Arial" w:cs="Arial" w:eastAsia="Arial" w:hAnsi="Arial"/>
                <w:color w:val="3B4A63"/>
                <w:sz w:val="16"/>
                <w:szCs w:val="16"/>
              </w:rPr>
              <w:t xml:space="preserve">Business email, domain registration and DNS governance</w:t>
            </w:r>
          </w:p>
          <w:p>
            <w:pPr>
              <w:pStyle w:val="ListParagraph"/>
              <w:numPr>
                <w:ilvl w:val="0"/>
                <w:numId w:val="2"/>
              </w:numPr>
              <w:spacing w:after="60" w:before="30" w:line="280"/>
            </w:pPr>
            <w:r>
              <w:rPr>
                <w:rFonts w:ascii="Arial" w:cs="Arial" w:eastAsia="Arial" w:hAnsi="Arial"/>
                <w:color w:val="3B4A63"/>
                <w:sz w:val="16"/>
                <w:szCs w:val="16"/>
              </w:rPr>
              <w:t xml:space="preserve">Managed connectivity, backup, and disaster recovery</w:t>
            </w:r>
          </w:p>
        </w:tc>
        <w:tc>
          <w:tcPr>
            <w:tcW w:type="dxa" w:w="5040"/>
            <w:tcBorders>
              <w:top w:val="none" w:color="FFFFFF" w:sz="0"/>
              <w:left w:val="none" w:color="FFFFFF" w:sz="0"/>
              <w:bottom w:val="none" w:color="FFFFFF" w:sz="0"/>
              <w:right w:val="none" w:color="FFFFFF" w:sz="0"/>
            </w:tcBorders>
            <w:tcMar>
              <w:top w:type="dxa" w:w="60"/>
              <w:left w:type="dxa" w:w="200"/>
              <w:bottom w:type="dxa" w:w="60"/>
              <w:right w:type="dxa" w:w="0"/>
            </w:tcMar>
            <w:vAlign w:val="top"/>
          </w:tcPr>
          <w:p>
            <w:pPr>
              <w:spacing w:after="60" w:before="0"/>
            </w:pPr>
            <w:r>
              <w:rPr>
                <w:rFonts w:ascii="Arial" w:cs="Arial" w:eastAsia="Arial" w:hAnsi="Arial"/>
                <w:b/>
                <w:bCs/>
                <w:color w:val="003B8E"/>
                <w:spacing w:val="25"/>
                <w:sz w:val="14"/>
                <w:szCs w:val="14"/>
              </w:rPr>
              <w:t xml:space="preserve">TYPICAL DELIVERABLES</w:t>
            </w:r>
          </w:p>
          <w:p>
            <w:pPr>
              <w:pStyle w:val="ListParagraph"/>
              <w:numPr>
                <w:ilvl w:val="0"/>
                <w:numId w:val="2"/>
              </w:numPr>
              <w:spacing w:after="60" w:before="30" w:line="280"/>
            </w:pPr>
            <w:r>
              <w:rPr>
                <w:rFonts w:ascii="Arial" w:cs="Arial" w:eastAsia="Arial" w:hAnsi="Arial"/>
                <w:color w:val="3B4A63"/>
                <w:sz w:val="16"/>
                <w:szCs w:val="16"/>
              </w:rPr>
              <w:t xml:space="preserve">SLA-backed managed services agreement</w:t>
            </w:r>
          </w:p>
          <w:p>
            <w:pPr>
              <w:pStyle w:val="ListParagraph"/>
              <w:numPr>
                <w:ilvl w:val="0"/>
                <w:numId w:val="2"/>
              </w:numPr>
              <w:spacing w:after="60" w:before="30" w:line="280"/>
            </w:pPr>
            <w:r>
              <w:rPr>
                <w:rFonts w:ascii="Arial" w:cs="Arial" w:eastAsia="Arial" w:hAnsi="Arial"/>
                <w:color w:val="3B4A63"/>
                <w:sz w:val="16"/>
                <w:szCs w:val="16"/>
              </w:rPr>
              <w:t xml:space="preserve">Quarterly business reviews with KPI baselines</w:t>
            </w:r>
          </w:p>
          <w:p>
            <w:pPr>
              <w:pStyle w:val="ListParagraph"/>
              <w:numPr>
                <w:ilvl w:val="0"/>
                <w:numId w:val="2"/>
              </w:numPr>
              <w:spacing w:after="60" w:before="30" w:line="280"/>
            </w:pPr>
            <w:r>
              <w:rPr>
                <w:rFonts w:ascii="Arial" w:cs="Arial" w:eastAsia="Arial" w:hAnsi="Arial"/>
                <w:color w:val="3B4A63"/>
                <w:sz w:val="16"/>
                <w:szCs w:val="16"/>
              </w:rPr>
              <w:t xml:space="preserve">Operational runbooks and escalation matrices</w:t>
            </w:r>
          </w:p>
          <w:p>
            <w:pPr>
              <w:pStyle w:val="ListParagraph"/>
              <w:numPr>
                <w:ilvl w:val="0"/>
                <w:numId w:val="2"/>
              </w:numPr>
              <w:spacing w:after="60" w:before="30" w:line="280"/>
            </w:pPr>
            <w:r>
              <w:rPr>
                <w:rFonts w:ascii="Arial" w:cs="Arial" w:eastAsia="Arial" w:hAnsi="Arial"/>
                <w:color w:val="3B4A63"/>
                <w:sz w:val="16"/>
                <w:szCs w:val="16"/>
              </w:rPr>
              <w:t xml:space="preserve">Continuity test reports and improvement plans</w:t>
            </w:r>
          </w:p>
        </w:tc>
      </w:tr>
    </w:tbl>
    <w:p>
      <w:pPr>
        <w:pBdr>
          <w:bottom w:val="single" w:color="C9A84C" w:sz="6" w:space="4"/>
        </w:pBdr>
        <w:spacing w:after="60" w:before="200"/>
      </w:pPr>
      <w:r>
        <w:rPr>
          <w:rFonts w:ascii="Arial" w:cs="Arial" w:eastAsia="Arial" w:hAnsi="Arial"/>
          <w:b/>
          <w:bCs/>
          <w:color w:val="C9A84C"/>
          <w:spacing w:val="25"/>
          <w:sz w:val="18"/>
          <w:szCs w:val="18"/>
        </w:rPr>
        <w:t xml:space="preserve">06</w:t>
      </w:r>
      <w:r>
        <w:rPr>
          <w:rFonts w:ascii="Arial" w:cs="Arial" w:eastAsia="Arial" w:hAnsi="Arial"/>
          <w:b/>
          <w:bCs/>
          <w:color w:val="0A1628"/>
          <w:sz w:val="24"/>
          <w:szCs w:val="24"/>
        </w:rPr>
        <w:t xml:space="preserve">   Business Applications &amp; ERP</w:t>
      </w:r>
    </w:p>
    <w:p>
      <w:pPr>
        <w:spacing w:after="100" w:before="0" w:line="300"/>
        <w:jc w:val="left"/>
      </w:pPr>
      <w:r>
        <w:rPr>
          <w:rFonts w:ascii="Arial" w:cs="Arial" w:eastAsia="Arial" w:hAnsi="Arial"/>
          <w:color w:val="3B4A63"/>
          <w:sz w:val="18"/>
          <w:szCs w:val="18"/>
        </w:rPr>
        <w:t xml:space="preserve">Odoo, Microsoft Dynamics 365 Business Central, and ERPNext implementation programmes — financials, multi-entity consolidation, ZATCA compliance, HRMS, CRM, and Sales.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c>
          <w:tcPr>
            <w:tcW w:type="dxa" w:w="5040"/>
            <w:tcBorders>
              <w:top w:val="none" w:color="FFFFFF" w:sz="0"/>
              <w:left w:val="none" w:color="FFFFFF" w:sz="0"/>
              <w:bottom w:val="none" w:color="FFFFFF" w:sz="0"/>
              <w:right w:val="none" w:color="FFFFFF" w:sz="0"/>
            </w:tcBorders>
            <w:tcMar>
              <w:top w:type="dxa" w:w="60"/>
              <w:left w:type="dxa" w:w="0"/>
              <w:bottom w:type="dxa" w:w="60"/>
              <w:right w:type="dxa" w:w="200"/>
            </w:tcMar>
            <w:vAlign w:val="top"/>
          </w:tcPr>
          <w:p>
            <w:pPr>
              <w:spacing w:after="60" w:before="0"/>
            </w:pPr>
            <w:r>
              <w:rPr>
                <w:rFonts w:ascii="Arial" w:cs="Arial" w:eastAsia="Arial" w:hAnsi="Arial"/>
                <w:b/>
                <w:bCs/>
                <w:color w:val="003B8E"/>
                <w:spacing w:val="25"/>
                <w:sz w:val="14"/>
                <w:szCs w:val="14"/>
              </w:rPr>
              <w:t xml:space="preserve">CORE CAPABILITIES</w:t>
            </w:r>
          </w:p>
          <w:p>
            <w:pPr>
              <w:pStyle w:val="ListParagraph"/>
              <w:numPr>
                <w:ilvl w:val="0"/>
                <w:numId w:val="2"/>
              </w:numPr>
              <w:spacing w:after="60" w:before="30" w:line="280"/>
            </w:pPr>
            <w:r>
              <w:rPr>
                <w:rFonts w:ascii="Arial" w:cs="Arial" w:eastAsia="Arial" w:hAnsi="Arial"/>
                <w:color w:val="3B4A63"/>
                <w:sz w:val="16"/>
                <w:szCs w:val="16"/>
              </w:rPr>
              <w:t xml:space="preserve">Odoo Enterprise implementation for KSA, GCC, India</w:t>
            </w:r>
          </w:p>
          <w:p>
            <w:pPr>
              <w:pStyle w:val="ListParagraph"/>
              <w:numPr>
                <w:ilvl w:val="0"/>
                <w:numId w:val="2"/>
              </w:numPr>
              <w:spacing w:after="60" w:before="30" w:line="280"/>
            </w:pPr>
            <w:r>
              <w:rPr>
                <w:rFonts w:ascii="Arial" w:cs="Arial" w:eastAsia="Arial" w:hAnsi="Arial"/>
                <w:color w:val="3B4A63"/>
                <w:sz w:val="16"/>
                <w:szCs w:val="16"/>
              </w:rPr>
              <w:t xml:space="preserve">Microsoft Dynamics 365 Business Central for M365 estates</w:t>
            </w:r>
          </w:p>
          <w:p>
            <w:pPr>
              <w:pStyle w:val="ListParagraph"/>
              <w:numPr>
                <w:ilvl w:val="0"/>
                <w:numId w:val="2"/>
              </w:numPr>
              <w:spacing w:after="60" w:before="30" w:line="280"/>
            </w:pPr>
            <w:r>
              <w:rPr>
                <w:rFonts w:ascii="Arial" w:cs="Arial" w:eastAsia="Arial" w:hAnsi="Arial"/>
                <w:color w:val="3B4A63"/>
                <w:sz w:val="16"/>
                <w:szCs w:val="16"/>
              </w:rPr>
              <w:t xml:space="preserve">ERPNext for open-source-aligned and India scenarios</w:t>
            </w:r>
          </w:p>
          <w:p>
            <w:pPr>
              <w:pStyle w:val="ListParagraph"/>
              <w:numPr>
                <w:ilvl w:val="0"/>
                <w:numId w:val="2"/>
              </w:numPr>
              <w:spacing w:after="60" w:before="30" w:line="280"/>
            </w:pPr>
            <w:r>
              <w:rPr>
                <w:rFonts w:ascii="Arial" w:cs="Arial" w:eastAsia="Arial" w:hAnsi="Arial"/>
                <w:color w:val="3B4A63"/>
                <w:sz w:val="16"/>
                <w:szCs w:val="16"/>
              </w:rPr>
              <w:t xml:space="preserve">ZATCA Phase 2 Fatoora compliance integration</w:t>
            </w:r>
          </w:p>
        </w:tc>
        <w:tc>
          <w:tcPr>
            <w:tcW w:type="dxa" w:w="5040"/>
            <w:tcBorders>
              <w:top w:val="none" w:color="FFFFFF" w:sz="0"/>
              <w:left w:val="none" w:color="FFFFFF" w:sz="0"/>
              <w:bottom w:val="none" w:color="FFFFFF" w:sz="0"/>
              <w:right w:val="none" w:color="FFFFFF" w:sz="0"/>
            </w:tcBorders>
            <w:tcMar>
              <w:top w:type="dxa" w:w="60"/>
              <w:left w:type="dxa" w:w="200"/>
              <w:bottom w:type="dxa" w:w="60"/>
              <w:right w:type="dxa" w:w="0"/>
            </w:tcMar>
            <w:vAlign w:val="top"/>
          </w:tcPr>
          <w:p>
            <w:pPr>
              <w:spacing w:after="60" w:before="0"/>
            </w:pPr>
            <w:r>
              <w:rPr>
                <w:rFonts w:ascii="Arial" w:cs="Arial" w:eastAsia="Arial" w:hAnsi="Arial"/>
                <w:b/>
                <w:bCs/>
                <w:color w:val="003B8E"/>
                <w:spacing w:val="25"/>
                <w:sz w:val="14"/>
                <w:szCs w:val="14"/>
              </w:rPr>
              <w:t xml:space="preserve">TYPICAL DELIVERABLES</w:t>
            </w:r>
          </w:p>
          <w:p>
            <w:pPr>
              <w:pStyle w:val="ListParagraph"/>
              <w:numPr>
                <w:ilvl w:val="0"/>
                <w:numId w:val="2"/>
              </w:numPr>
              <w:spacing w:after="60" w:before="30" w:line="280"/>
            </w:pPr>
            <w:r>
              <w:rPr>
                <w:rFonts w:ascii="Arial" w:cs="Arial" w:eastAsia="Arial" w:hAnsi="Arial"/>
                <w:color w:val="3B4A63"/>
                <w:sz w:val="16"/>
                <w:szCs w:val="16"/>
              </w:rPr>
              <w:t xml:space="preserve">Business Requirements Document per VTX-BRD standard</w:t>
            </w:r>
          </w:p>
          <w:p>
            <w:pPr>
              <w:pStyle w:val="ListParagraph"/>
              <w:numPr>
                <w:ilvl w:val="0"/>
                <w:numId w:val="2"/>
              </w:numPr>
              <w:spacing w:after="60" w:before="30" w:line="280"/>
            </w:pPr>
            <w:r>
              <w:rPr>
                <w:rFonts w:ascii="Arial" w:cs="Arial" w:eastAsia="Arial" w:hAnsi="Arial"/>
                <w:color w:val="3B4A63"/>
                <w:sz w:val="16"/>
                <w:szCs w:val="16"/>
              </w:rPr>
              <w:t xml:space="preserve">Configured ERP environments — UAT and production</w:t>
            </w:r>
          </w:p>
          <w:p>
            <w:pPr>
              <w:pStyle w:val="ListParagraph"/>
              <w:numPr>
                <w:ilvl w:val="0"/>
                <w:numId w:val="2"/>
              </w:numPr>
              <w:spacing w:after="60" w:before="30" w:line="280"/>
            </w:pPr>
            <w:r>
              <w:rPr>
                <w:rFonts w:ascii="Arial" w:cs="Arial" w:eastAsia="Arial" w:hAnsi="Arial"/>
                <w:color w:val="3B4A63"/>
                <w:sz w:val="16"/>
                <w:szCs w:val="16"/>
              </w:rPr>
              <w:t xml:space="preserve">Integration with banking, ZATCA, and reporting systems</w:t>
            </w:r>
          </w:p>
          <w:p>
            <w:pPr>
              <w:pStyle w:val="ListParagraph"/>
              <w:numPr>
                <w:ilvl w:val="0"/>
                <w:numId w:val="2"/>
              </w:numPr>
              <w:spacing w:after="60" w:before="30" w:line="280"/>
            </w:pPr>
            <w:r>
              <w:rPr>
                <w:rFonts w:ascii="Arial" w:cs="Arial" w:eastAsia="Arial" w:hAnsi="Arial"/>
                <w:color w:val="3B4A63"/>
                <w:sz w:val="16"/>
                <w:szCs w:val="16"/>
              </w:rPr>
              <w:t xml:space="preserve">Post-go-live hypercare and optimisation roadmap</w:t>
            </w:r>
          </w:p>
        </w:tc>
      </w:tr>
    </w:tbl>
    <w:p>
      <w:pPr>
        <w:pBdr>
          <w:bottom w:val="single" w:color="C9A84C" w:sz="6" w:space="4"/>
        </w:pBdr>
        <w:spacing w:after="60" w:before="200"/>
      </w:pPr>
      <w:r>
        <w:rPr>
          <w:rFonts w:ascii="Arial" w:cs="Arial" w:eastAsia="Arial" w:hAnsi="Arial"/>
          <w:b/>
          <w:bCs/>
          <w:color w:val="C9A84C"/>
          <w:spacing w:val="25"/>
          <w:sz w:val="18"/>
          <w:szCs w:val="18"/>
        </w:rPr>
        <w:t xml:space="preserve">07</w:t>
      </w:r>
      <w:r>
        <w:rPr>
          <w:rFonts w:ascii="Arial" w:cs="Arial" w:eastAsia="Arial" w:hAnsi="Arial"/>
          <w:b/>
          <w:bCs/>
          <w:color w:val="0A1628"/>
          <w:sz w:val="24"/>
          <w:szCs w:val="24"/>
        </w:rPr>
        <w:t xml:space="preserve">   Digital &amp; Growth Services</w:t>
      </w:r>
    </w:p>
    <w:p>
      <w:pPr>
        <w:spacing w:after="100" w:before="0" w:line="300"/>
        <w:jc w:val="left"/>
      </w:pPr>
      <w:r>
        <w:rPr>
          <w:rFonts w:ascii="Arial" w:cs="Arial" w:eastAsia="Arial" w:hAnsi="Arial"/>
          <w:color w:val="3B4A63"/>
          <w:sz w:val="18"/>
          <w:szCs w:val="18"/>
        </w:rPr>
        <w:t xml:space="preserve">B2B marketing architecture for organisations operating across regulated markets — content, search, attribution, and brand systems engineered to compound rather than churn.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c>
          <w:tcPr>
            <w:tcW w:type="dxa" w:w="5040"/>
            <w:tcBorders>
              <w:top w:val="none" w:color="FFFFFF" w:sz="0"/>
              <w:left w:val="none" w:color="FFFFFF" w:sz="0"/>
              <w:bottom w:val="none" w:color="FFFFFF" w:sz="0"/>
              <w:right w:val="none" w:color="FFFFFF" w:sz="0"/>
            </w:tcBorders>
            <w:tcMar>
              <w:top w:type="dxa" w:w="60"/>
              <w:left w:type="dxa" w:w="0"/>
              <w:bottom w:type="dxa" w:w="60"/>
              <w:right w:type="dxa" w:w="200"/>
            </w:tcMar>
            <w:vAlign w:val="top"/>
          </w:tcPr>
          <w:p>
            <w:pPr>
              <w:spacing w:after="60" w:before="0"/>
            </w:pPr>
            <w:r>
              <w:rPr>
                <w:rFonts w:ascii="Arial" w:cs="Arial" w:eastAsia="Arial" w:hAnsi="Arial"/>
                <w:b/>
                <w:bCs/>
                <w:color w:val="003B8E"/>
                <w:spacing w:val="25"/>
                <w:sz w:val="14"/>
                <w:szCs w:val="14"/>
              </w:rPr>
              <w:t xml:space="preserve">CORE CAPABILITIES</w:t>
            </w:r>
          </w:p>
          <w:p>
            <w:pPr>
              <w:pStyle w:val="ListParagraph"/>
              <w:numPr>
                <w:ilvl w:val="0"/>
                <w:numId w:val="2"/>
              </w:numPr>
              <w:spacing w:after="60" w:before="30" w:line="280"/>
            </w:pPr>
            <w:r>
              <w:rPr>
                <w:rFonts w:ascii="Arial" w:cs="Arial" w:eastAsia="Arial" w:hAnsi="Arial"/>
                <w:color w:val="3B4A63"/>
                <w:sz w:val="16"/>
                <w:szCs w:val="16"/>
              </w:rPr>
              <w:t xml:space="preserve">Content engineering and editorial programme architecture</w:t>
            </w:r>
          </w:p>
          <w:p>
            <w:pPr>
              <w:pStyle w:val="ListParagraph"/>
              <w:numPr>
                <w:ilvl w:val="0"/>
                <w:numId w:val="2"/>
              </w:numPr>
              <w:spacing w:after="60" w:before="30" w:line="280"/>
            </w:pPr>
            <w:r>
              <w:rPr>
                <w:rFonts w:ascii="Arial" w:cs="Arial" w:eastAsia="Arial" w:hAnsi="Arial"/>
                <w:color w:val="3B4A63"/>
                <w:sz w:val="16"/>
                <w:szCs w:val="16"/>
              </w:rPr>
              <w:t xml:space="preserve">Search and attribution stacks for B2B pipelines</w:t>
            </w:r>
          </w:p>
          <w:p>
            <w:pPr>
              <w:pStyle w:val="ListParagraph"/>
              <w:numPr>
                <w:ilvl w:val="0"/>
                <w:numId w:val="2"/>
              </w:numPr>
              <w:spacing w:after="60" w:before="30" w:line="280"/>
            </w:pPr>
            <w:r>
              <w:rPr>
                <w:rFonts w:ascii="Arial" w:cs="Arial" w:eastAsia="Arial" w:hAnsi="Arial"/>
                <w:color w:val="3B4A63"/>
                <w:sz w:val="16"/>
                <w:szCs w:val="16"/>
              </w:rPr>
              <w:t xml:space="preserve">Brand systems and design tokens for multi-channel use</w:t>
            </w:r>
          </w:p>
          <w:p>
            <w:pPr>
              <w:pStyle w:val="ListParagraph"/>
              <w:numPr>
                <w:ilvl w:val="0"/>
                <w:numId w:val="2"/>
              </w:numPr>
              <w:spacing w:after="60" w:before="30" w:line="280"/>
            </w:pPr>
            <w:r>
              <w:rPr>
                <w:rFonts w:ascii="Arial" w:cs="Arial" w:eastAsia="Arial" w:hAnsi="Arial"/>
                <w:color w:val="3B4A63"/>
                <w:sz w:val="16"/>
                <w:szCs w:val="16"/>
              </w:rPr>
              <w:t xml:space="preserve">Privacy-aware analytics under PDPL and GDPR</w:t>
            </w:r>
          </w:p>
        </w:tc>
        <w:tc>
          <w:tcPr>
            <w:tcW w:type="dxa" w:w="5040"/>
            <w:tcBorders>
              <w:top w:val="none" w:color="FFFFFF" w:sz="0"/>
              <w:left w:val="none" w:color="FFFFFF" w:sz="0"/>
              <w:bottom w:val="none" w:color="FFFFFF" w:sz="0"/>
              <w:right w:val="none" w:color="FFFFFF" w:sz="0"/>
            </w:tcBorders>
            <w:tcMar>
              <w:top w:type="dxa" w:w="60"/>
              <w:left w:type="dxa" w:w="200"/>
              <w:bottom w:type="dxa" w:w="60"/>
              <w:right w:type="dxa" w:w="0"/>
            </w:tcMar>
            <w:vAlign w:val="top"/>
          </w:tcPr>
          <w:p>
            <w:pPr>
              <w:spacing w:after="60" w:before="0"/>
            </w:pPr>
            <w:r>
              <w:rPr>
                <w:rFonts w:ascii="Arial" w:cs="Arial" w:eastAsia="Arial" w:hAnsi="Arial"/>
                <w:b/>
                <w:bCs/>
                <w:color w:val="003B8E"/>
                <w:spacing w:val="25"/>
                <w:sz w:val="14"/>
                <w:szCs w:val="14"/>
              </w:rPr>
              <w:t xml:space="preserve">TYPICAL DELIVERABLES</w:t>
            </w:r>
          </w:p>
          <w:p>
            <w:pPr>
              <w:pStyle w:val="ListParagraph"/>
              <w:numPr>
                <w:ilvl w:val="0"/>
                <w:numId w:val="2"/>
              </w:numPr>
              <w:spacing w:after="60" w:before="30" w:line="280"/>
            </w:pPr>
            <w:r>
              <w:rPr>
                <w:rFonts w:ascii="Arial" w:cs="Arial" w:eastAsia="Arial" w:hAnsi="Arial"/>
                <w:color w:val="3B4A63"/>
                <w:sz w:val="16"/>
                <w:szCs w:val="16"/>
              </w:rPr>
              <w:t xml:space="preserve">Editorial calendar and publishing operating model</w:t>
            </w:r>
          </w:p>
          <w:p>
            <w:pPr>
              <w:pStyle w:val="ListParagraph"/>
              <w:numPr>
                <w:ilvl w:val="0"/>
                <w:numId w:val="2"/>
              </w:numPr>
              <w:spacing w:after="60" w:before="30" w:line="280"/>
            </w:pPr>
            <w:r>
              <w:rPr>
                <w:rFonts w:ascii="Arial" w:cs="Arial" w:eastAsia="Arial" w:hAnsi="Arial"/>
                <w:color w:val="3B4A63"/>
                <w:sz w:val="16"/>
                <w:szCs w:val="16"/>
              </w:rPr>
              <w:t xml:space="preserve">Tracked attribution architecture</w:t>
            </w:r>
          </w:p>
          <w:p>
            <w:pPr>
              <w:pStyle w:val="ListParagraph"/>
              <w:numPr>
                <w:ilvl w:val="0"/>
                <w:numId w:val="2"/>
              </w:numPr>
              <w:spacing w:after="60" w:before="30" w:line="280"/>
            </w:pPr>
            <w:r>
              <w:rPr>
                <w:rFonts w:ascii="Arial" w:cs="Arial" w:eastAsia="Arial" w:hAnsi="Arial"/>
                <w:color w:val="3B4A63"/>
                <w:sz w:val="16"/>
                <w:szCs w:val="16"/>
              </w:rPr>
              <w:t xml:space="preserve">Brand system documentation: tokens, components, voice</w:t>
            </w:r>
          </w:p>
          <w:p>
            <w:pPr>
              <w:pStyle w:val="ListParagraph"/>
              <w:numPr>
                <w:ilvl w:val="0"/>
                <w:numId w:val="2"/>
              </w:numPr>
              <w:spacing w:after="60" w:before="30" w:line="280"/>
            </w:pPr>
            <w:r>
              <w:rPr>
                <w:rFonts w:ascii="Arial" w:cs="Arial" w:eastAsia="Arial" w:hAnsi="Arial"/>
                <w:color w:val="3B4A63"/>
                <w:sz w:val="16"/>
                <w:szCs w:val="16"/>
              </w:rPr>
              <w:t xml:space="preserve">Quarterly performance reviews and optimisation cycles</w:t>
            </w:r>
          </w:p>
        </w:tc>
      </w:tr>
    </w:tbl>
    <w:p>
      <w:pPr>
        <w:spacing w:after="40" w:before="0"/>
      </w:pPr>
      <w:r>
        <w:rPr>
          <w:rFonts w:ascii="Arial" w:cs="Arial" w:eastAsia="Arial" w:hAnsi="Arial"/>
          <w:b/>
          <w:bCs/>
          <w:color w:val="C9A84C"/>
          <w:spacing w:val="30"/>
          <w:sz w:val="16"/>
          <w:szCs w:val="16"/>
        </w:rPr>
        <w:t xml:space="preserve">/ 05</w:t>
      </w:r>
    </w:p>
    <w:p>
      <w:pPr>
        <w:pStyle w:val="Heading1"/>
        <w:pageBreakBefore/>
        <w:spacing w:after="240" w:before="480"/>
      </w:pPr>
      <w:r>
        <w:rPr>
          <w:rFonts w:ascii="Arial" w:cs="Arial" w:eastAsia="Arial" w:hAnsi="Arial"/>
          <w:b/>
          <w:bCs/>
          <w:color w:val="0A1628"/>
          <w:sz w:val="36"/>
          <w:szCs w:val="36"/>
        </w:rPr>
        <w:t xml:space="preserve">EolasFlow Voice AI Solution</w:t>
      </w:r>
    </w:p>
    <w:p>
      <w:pPr>
        <w:pBdr>
          <w:bottom w:val="single" w:color="C9A84C" w:sz="8" w:space="1"/>
        </w:pBdr>
        <w:spacing w:after="120" w:before="120"/>
      </w:pPr>
      <w:r>
        <w:t xml:space="preserve"/>
      </w:r>
    </w:p>
    <w:p>
      <w:pPr>
        <w:spacing w:after="240" w:before="80" w:line="300"/>
        <w:jc w:val="left"/>
      </w:pPr>
      <w:r>
        <w:rPr>
          <w:rFonts w:ascii="Arial" w:cs="Arial" w:eastAsia="Arial" w:hAnsi="Arial"/>
          <w:color w:val="0A1628"/>
          <w:sz w:val="22"/>
          <w:szCs w:val="22"/>
        </w:rPr>
        <w:t xml:space="preserve">Veltrixair is the authorised solution partner for EolasFlow — an enterprise voice AI platform engineered for the GCC and Indian markets. EolasFlow delivers natural-language voice agents across phone, WhatsApp, web widget, and softphone channels, with deployment models that meet KSA sovereign-cloud and India data-residency requirements.</w:t>
      </w:r>
    </w:p>
    <w:p>
      <w:pPr>
        <w:pStyle w:val="Heading2"/>
        <w:spacing w:after="120" w:before="320"/>
      </w:pPr>
      <w:r>
        <w:rPr>
          <w:rFonts w:ascii="Arial" w:cs="Arial" w:eastAsia="Arial" w:hAnsi="Arial"/>
          <w:b/>
          <w:bCs/>
          <w:color w:val="0A1628"/>
          <w:sz w:val="24"/>
          <w:szCs w:val="24"/>
        </w:rPr>
        <w:t xml:space="preserve">Solution Highlights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520"/>
        <w:gridCol w:w="2520"/>
        <w:gridCol w:w="2520"/>
        <w:gridCol w:w="2520"/>
      </w:tblGrid>
      <w:tr>
        <w:tc>
          <w:tcPr>
            <w:tcW w:type="dxa" w:w="2520"/>
            <w:tcBorders>
              <w:top w:val="single" w:color="D6D9DE" w:sz="4"/>
              <w:left w:val="single" w:color="D6D9DE" w:sz="4"/>
              <w:bottom w:val="single" w:color="D6D9DE" w:sz="4"/>
              <w:right w:val="single" w:color="D6D9DE" w:sz="4"/>
            </w:tcBorders>
            <w:shd w:fill="F4F1E8" w:val="clear"/>
            <w:tcMar>
              <w:top w:type="dxa" w:w="200"/>
              <w:left w:type="dxa" w:w="80"/>
              <w:bottom w:type="dxa" w:w="200"/>
              <w:right w:type="dxa" w:w="80"/>
            </w:tcMar>
            <w:vAlign w:val="center"/>
          </w:tcPr>
          <w:p>
            <w:pPr>
              <w:spacing w:after="40" w:before="80"/>
              <w:jc w:val="center"/>
            </w:pPr>
            <w:r>
              <w:rPr>
                <w:rFonts w:ascii="Arial" w:cs="Arial" w:eastAsia="Arial" w:hAnsi="Arial"/>
                <w:b/>
                <w:bCs/>
                <w:color w:val="C9A84C"/>
                <w:sz w:val="44"/>
                <w:szCs w:val="44"/>
              </w:rPr>
              <w:t xml:space="preserve">50+</w:t>
            </w:r>
          </w:p>
          <w:p>
            <w:pPr>
              <w:spacing w:after="80" w:before="0"/>
              <w:jc w:val="center"/>
            </w:pPr>
            <w:r>
              <w:rPr>
                <w:rFonts w:ascii="Arial" w:cs="Arial" w:eastAsia="Arial" w:hAnsi="Arial"/>
                <w:b/>
                <w:bCs/>
                <w:color w:val="6E7A91"/>
                <w:spacing w:val="25"/>
                <w:sz w:val="12"/>
                <w:szCs w:val="12"/>
              </w:rPr>
              <w:t xml:space="preserve">LANGUAGES SUPPORTED</w:t>
            </w:r>
          </w:p>
        </w:tc>
        <w:tc>
          <w:tcPr>
            <w:tcW w:type="dxa" w:w="2520"/>
            <w:tcBorders>
              <w:top w:val="single" w:color="D6D9DE" w:sz="4"/>
              <w:left w:val="single" w:color="D6D9DE" w:sz="4"/>
              <w:bottom w:val="single" w:color="D6D9DE" w:sz="4"/>
              <w:right w:val="single" w:color="D6D9DE" w:sz="4"/>
            </w:tcBorders>
            <w:shd w:fill="F4F1E8" w:val="clear"/>
            <w:tcMar>
              <w:top w:type="dxa" w:w="200"/>
              <w:left w:type="dxa" w:w="80"/>
              <w:bottom w:type="dxa" w:w="200"/>
              <w:right w:type="dxa" w:w="80"/>
            </w:tcMar>
            <w:vAlign w:val="center"/>
          </w:tcPr>
          <w:p>
            <w:pPr>
              <w:spacing w:after="40" w:before="80"/>
              <w:jc w:val="center"/>
            </w:pPr>
            <w:r>
              <w:rPr>
                <w:rFonts w:ascii="Arial" w:cs="Arial" w:eastAsia="Arial" w:hAnsi="Arial"/>
                <w:b/>
                <w:bCs/>
                <w:color w:val="C9A84C"/>
                <w:sz w:val="44"/>
                <w:szCs w:val="44"/>
              </w:rPr>
              <w:t xml:space="preserve">&lt;90</w:t>
            </w:r>
          </w:p>
          <w:p>
            <w:pPr>
              <w:spacing w:after="80" w:before="0"/>
              <w:jc w:val="center"/>
            </w:pPr>
            <w:r>
              <w:rPr>
                <w:rFonts w:ascii="Arial" w:cs="Arial" w:eastAsia="Arial" w:hAnsi="Arial"/>
                <w:b/>
                <w:bCs/>
                <w:color w:val="6E7A91"/>
                <w:spacing w:val="25"/>
                <w:sz w:val="12"/>
                <w:szCs w:val="12"/>
              </w:rPr>
              <w:t xml:space="preserve">MS LATENCY (P50)</w:t>
            </w:r>
          </w:p>
        </w:tc>
        <w:tc>
          <w:tcPr>
            <w:tcW w:type="dxa" w:w="2520"/>
            <w:tcBorders>
              <w:top w:val="single" w:color="D6D9DE" w:sz="4"/>
              <w:left w:val="single" w:color="D6D9DE" w:sz="4"/>
              <w:bottom w:val="single" w:color="D6D9DE" w:sz="4"/>
              <w:right w:val="single" w:color="D6D9DE" w:sz="4"/>
            </w:tcBorders>
            <w:shd w:fill="F4F1E8" w:val="clear"/>
            <w:tcMar>
              <w:top w:type="dxa" w:w="200"/>
              <w:left w:type="dxa" w:w="80"/>
              <w:bottom w:type="dxa" w:w="200"/>
              <w:right w:type="dxa" w:w="80"/>
            </w:tcMar>
            <w:vAlign w:val="center"/>
          </w:tcPr>
          <w:p>
            <w:pPr>
              <w:spacing w:after="40" w:before="80"/>
              <w:jc w:val="center"/>
            </w:pPr>
            <w:r>
              <w:rPr>
                <w:rFonts w:ascii="Arial" w:cs="Arial" w:eastAsia="Arial" w:hAnsi="Arial"/>
                <w:b/>
                <w:bCs/>
                <w:color w:val="C9A84C"/>
                <w:sz w:val="44"/>
                <w:szCs w:val="44"/>
              </w:rPr>
              <w:t xml:space="preserve">4</w:t>
            </w:r>
          </w:p>
          <w:p>
            <w:pPr>
              <w:spacing w:after="80" w:before="0"/>
              <w:jc w:val="center"/>
            </w:pPr>
            <w:r>
              <w:rPr>
                <w:rFonts w:ascii="Arial" w:cs="Arial" w:eastAsia="Arial" w:hAnsi="Arial"/>
                <w:b/>
                <w:bCs/>
                <w:color w:val="6E7A91"/>
                <w:spacing w:val="25"/>
                <w:sz w:val="12"/>
                <w:szCs w:val="12"/>
              </w:rPr>
              <w:t xml:space="preserve">CHANNELS SUPPORTED</w:t>
            </w:r>
          </w:p>
        </w:tc>
        <w:tc>
          <w:tcPr>
            <w:tcW w:type="dxa" w:w="2520"/>
            <w:tcBorders>
              <w:top w:val="single" w:color="D6D9DE" w:sz="4"/>
              <w:left w:val="single" w:color="D6D9DE" w:sz="4"/>
              <w:bottom w:val="single" w:color="D6D9DE" w:sz="4"/>
              <w:right w:val="single" w:color="D6D9DE" w:sz="4"/>
            </w:tcBorders>
            <w:shd w:fill="F4F1E8" w:val="clear"/>
            <w:tcMar>
              <w:top w:type="dxa" w:w="200"/>
              <w:left w:type="dxa" w:w="80"/>
              <w:bottom w:type="dxa" w:w="200"/>
              <w:right w:type="dxa" w:w="80"/>
            </w:tcMar>
            <w:vAlign w:val="center"/>
          </w:tcPr>
          <w:p>
            <w:pPr>
              <w:spacing w:after="40" w:before="80"/>
              <w:jc w:val="center"/>
            </w:pPr>
            <w:r>
              <w:rPr>
                <w:rFonts w:ascii="Arial" w:cs="Arial" w:eastAsia="Arial" w:hAnsi="Arial"/>
                <w:b/>
                <w:bCs/>
                <w:color w:val="C9A84C"/>
                <w:sz w:val="44"/>
                <w:szCs w:val="44"/>
              </w:rPr>
              <w:t xml:space="preserve">EU AI</w:t>
            </w:r>
          </w:p>
          <w:p>
            <w:pPr>
              <w:spacing w:after="80" w:before="0"/>
              <w:jc w:val="center"/>
            </w:pPr>
            <w:r>
              <w:rPr>
                <w:rFonts w:ascii="Arial" w:cs="Arial" w:eastAsia="Arial" w:hAnsi="Arial"/>
                <w:b/>
                <w:bCs/>
                <w:color w:val="6E7A91"/>
                <w:spacing w:val="25"/>
                <w:sz w:val="12"/>
                <w:szCs w:val="12"/>
              </w:rPr>
              <w:t xml:space="preserve">ACT COMPLIANT</w:t>
            </w:r>
          </w:p>
        </w:tc>
      </w:tr>
    </w:tbl>
    <w:p>
      <w:pPr>
        <w:pStyle w:val="Heading2"/>
        <w:spacing w:after="120" w:before="320"/>
      </w:pPr>
      <w:r>
        <w:rPr>
          <w:rFonts w:ascii="Arial" w:cs="Arial" w:eastAsia="Arial" w:hAnsi="Arial"/>
          <w:b/>
          <w:bCs/>
          <w:color w:val="0A1628"/>
          <w:sz w:val="24"/>
          <w:szCs w:val="24"/>
        </w:rPr>
        <w:t xml:space="preserve">Engagement Packages</w:t>
      </w:r>
    </w:p>
    <w:p>
      <w:pPr>
        <w:spacing w:after="240" w:before="0" w:line="300"/>
        <w:jc w:val="left"/>
      </w:pPr>
      <w:r>
        <w:rPr>
          <w:rFonts w:ascii="Arial" w:cs="Arial" w:eastAsia="Arial" w:hAnsi="Arial"/>
          <w:color w:val="3B4A63"/>
          <w:sz w:val="20"/>
          <w:szCs w:val="20"/>
        </w:rPr>
        <w:t xml:space="preserve">Veltrixair offers three standard engagement packages for EolasFlow deployment, scoped to the maturity and ambition of the client programme.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520"/>
        <w:gridCol w:w="2520"/>
        <w:gridCol w:w="5040"/>
      </w:tblGrid>
      <w:tr>
        <w:tc>
          <w:tcPr>
            <w:tcW w:type="dxa" w:w="2520"/>
            <w:tcBorders>
              <w:top w:val="single" w:color="D6D9DE" w:sz="4"/>
              <w:left w:val="single" w:color="D6D9DE" w:sz="4"/>
              <w:bottom w:val="single" w:color="D6D9DE" w:sz="4"/>
              <w:right w:val="single" w:color="D6D9DE" w:sz="4"/>
            </w:tcBorders>
            <w:shd w:fill="0A1628" w:val="clear"/>
            <w:tcMar>
              <w:top w:type="dxa" w:w="120"/>
              <w:left w:type="dxa" w:w="160"/>
              <w:bottom w:type="dxa" w:w="120"/>
              <w:right w:type="dxa" w:w="160"/>
            </w:tcMar>
            <w:vAlign w:val="center"/>
          </w:tcPr>
          <w:p>
            <w:pPr>
              <w:spacing w:after="120" w:before="0" w:line="300"/>
              <w:jc w:val="left"/>
            </w:pPr>
            <w:r>
              <w:rPr>
                <w:rFonts w:ascii="Arial" w:cs="Arial" w:eastAsia="Arial" w:hAnsi="Arial"/>
                <w:b/>
                <w:bCs/>
                <w:color w:val="FFFFFF"/>
                <w:spacing w:val="30"/>
                <w:sz w:val="14"/>
                <w:szCs w:val="14"/>
              </w:rPr>
              <w:t xml:space="preserve">PACKAGE</w:t>
            </w:r>
          </w:p>
        </w:tc>
        <w:tc>
          <w:tcPr>
            <w:tcW w:type="dxa" w:w="2520"/>
            <w:tcBorders>
              <w:top w:val="single" w:color="D6D9DE" w:sz="4"/>
              <w:left w:val="single" w:color="D6D9DE" w:sz="4"/>
              <w:bottom w:val="single" w:color="D6D9DE" w:sz="4"/>
              <w:right w:val="single" w:color="D6D9DE" w:sz="4"/>
            </w:tcBorders>
            <w:shd w:fill="0A1628" w:val="clear"/>
            <w:tcMar>
              <w:top w:type="dxa" w:w="120"/>
              <w:left w:type="dxa" w:w="160"/>
              <w:bottom w:type="dxa" w:w="120"/>
              <w:right w:type="dxa" w:w="160"/>
            </w:tcMar>
            <w:vAlign w:val="center"/>
          </w:tcPr>
          <w:p>
            <w:pPr>
              <w:spacing w:after="120" w:before="0" w:line="300"/>
              <w:jc w:val="left"/>
            </w:pPr>
            <w:r>
              <w:rPr>
                <w:rFonts w:ascii="Arial" w:cs="Arial" w:eastAsia="Arial" w:hAnsi="Arial"/>
                <w:b/>
                <w:bCs/>
                <w:color w:val="FFFFFF"/>
                <w:spacing w:val="30"/>
                <w:sz w:val="14"/>
                <w:szCs w:val="14"/>
              </w:rPr>
              <w:t xml:space="preserve">DURATION</w:t>
            </w:r>
          </w:p>
        </w:tc>
        <w:tc>
          <w:tcPr>
            <w:tcW w:type="dxa" w:w="5040"/>
            <w:tcBorders>
              <w:top w:val="single" w:color="D6D9DE" w:sz="4"/>
              <w:left w:val="single" w:color="D6D9DE" w:sz="4"/>
              <w:bottom w:val="single" w:color="D6D9DE" w:sz="4"/>
              <w:right w:val="single" w:color="D6D9DE" w:sz="4"/>
            </w:tcBorders>
            <w:shd w:fill="0A1628" w:val="clear"/>
            <w:tcMar>
              <w:top w:type="dxa" w:w="120"/>
              <w:left w:type="dxa" w:w="160"/>
              <w:bottom w:type="dxa" w:w="120"/>
              <w:right w:type="dxa" w:w="160"/>
            </w:tcMar>
            <w:vAlign w:val="center"/>
          </w:tcPr>
          <w:p>
            <w:pPr>
              <w:spacing w:after="120" w:before="0" w:line="300"/>
              <w:jc w:val="left"/>
            </w:pPr>
            <w:r>
              <w:rPr>
                <w:rFonts w:ascii="Arial" w:cs="Arial" w:eastAsia="Arial" w:hAnsi="Arial"/>
                <w:b/>
                <w:bCs/>
                <w:color w:val="FFFFFF"/>
                <w:spacing w:val="30"/>
                <w:sz w:val="14"/>
                <w:szCs w:val="14"/>
              </w:rPr>
              <w:t xml:space="preserve">SCOPE</w:t>
            </w:r>
          </w:p>
        </w:tc>
      </w:tr>
      <w:tr>
        <w:tc>
          <w:tcPr>
            <w:tcW w:type="dxa" w:w="2520"/>
            <w:tcBorders>
              <w:top w:val="single" w:color="D6D9DE" w:sz="4"/>
              <w:left w:val="single" w:color="D6D9DE" w:sz="4"/>
              <w:bottom w:val="single" w:color="D6D9DE" w:sz="4"/>
              <w:right w:val="single" w:color="D6D9DE" w:sz="4"/>
            </w:tcBorders>
            <w:shd w:fill="FFFFFF" w:val="clear"/>
            <w:tcMar>
              <w:top w:type="dxa" w:w="160"/>
              <w:left w:type="dxa" w:w="160"/>
              <w:bottom w:type="dxa" w:w="160"/>
              <w:right w:type="dxa" w:w="160"/>
            </w:tcMar>
            <w:vAlign w:val="top"/>
          </w:tcPr>
          <w:p>
            <w:pPr>
              <w:spacing w:after="60" w:before="120"/>
            </w:pPr>
            <w:r>
              <w:rPr>
                <w:rFonts w:ascii="Arial" w:cs="Arial" w:eastAsia="Arial" w:hAnsi="Arial"/>
                <w:b/>
                <w:bCs/>
                <w:color w:val="003B8E"/>
                <w:sz w:val="20"/>
                <w:szCs w:val="20"/>
              </w:rPr>
              <w:t xml:space="preserve">Pilot</w:t>
            </w:r>
          </w:p>
        </w:tc>
        <w:tc>
          <w:tcPr>
            <w:tcW w:type="dxa" w:w="2520"/>
            <w:tcBorders>
              <w:top w:val="single" w:color="D6D9DE" w:sz="4"/>
              <w:left w:val="single" w:color="D6D9DE" w:sz="4"/>
              <w:bottom w:val="single" w:color="D6D9DE" w:sz="4"/>
              <w:right w:val="single" w:color="D6D9DE" w:sz="4"/>
            </w:tcBorders>
            <w:tcMar>
              <w:top w:type="dxa" w:w="160"/>
              <w:left w:type="dxa" w:w="160"/>
              <w:bottom w:type="dxa" w:w="160"/>
              <w:right w:type="dxa" w:w="160"/>
            </w:tcMar>
            <w:vAlign w:val="top"/>
          </w:tcPr>
          <w:p>
            <w:pPr>
              <w:spacing w:after="120" w:before="0" w:line="300"/>
              <w:jc w:val="left"/>
            </w:pPr>
            <w:r>
              <w:rPr>
                <w:rFonts w:ascii="Arial" w:cs="Arial" w:eastAsia="Arial" w:hAnsi="Arial"/>
                <w:color w:val="3B4A63"/>
                <w:sz w:val="20"/>
                <w:szCs w:val="20"/>
              </w:rPr>
              <w:t xml:space="preserve">4 – 6 weeks</w:t>
            </w:r>
          </w:p>
        </w:tc>
        <w:tc>
          <w:tcPr>
            <w:tcW w:type="dxa" w:w="5040"/>
            <w:tcBorders>
              <w:top w:val="single" w:color="D6D9DE" w:sz="4"/>
              <w:left w:val="single" w:color="D6D9DE" w:sz="4"/>
              <w:bottom w:val="single" w:color="D6D9DE" w:sz="4"/>
              <w:right w:val="single" w:color="D6D9DE" w:sz="4"/>
            </w:tcBorders>
            <w:tcMar>
              <w:top w:type="dxa" w:w="160"/>
              <w:left w:type="dxa" w:w="160"/>
              <w:bottom w:type="dxa" w:w="160"/>
              <w:right w:type="dxa" w:w="160"/>
            </w:tcMar>
            <w:vAlign w:val="top"/>
          </w:tcPr>
          <w:p>
            <w:pPr>
              <w:spacing w:after="120" w:before="0" w:line="300"/>
              <w:jc w:val="left"/>
            </w:pPr>
            <w:r>
              <w:rPr>
                <w:rFonts w:ascii="Arial" w:cs="Arial" w:eastAsia="Arial" w:hAnsi="Arial"/>
                <w:color w:val="3B4A63"/>
                <w:sz w:val="20"/>
                <w:szCs w:val="20"/>
              </w:rPr>
              <w:t xml:space="preserve">Single-channel deployment (typically phone) with one named use case, success criteria defined upfront, full handover at end of pilot.</w:t>
            </w:r>
          </w:p>
        </w:tc>
      </w:tr>
      <w:tr>
        <w:tc>
          <w:tcPr>
            <w:tcW w:type="dxa" w:w="2520"/>
            <w:tcBorders>
              <w:top w:val="single" w:color="D6D9DE" w:sz="4"/>
              <w:left w:val="single" w:color="D6D9DE" w:sz="4"/>
              <w:bottom w:val="single" w:color="D6D9DE" w:sz="4"/>
              <w:right w:val="single" w:color="D6D9DE" w:sz="4"/>
            </w:tcBorders>
            <w:shd w:fill="F4F1E8" w:val="clear"/>
            <w:tcMar>
              <w:top w:type="dxa" w:w="160"/>
              <w:left w:type="dxa" w:w="160"/>
              <w:bottom w:type="dxa" w:w="160"/>
              <w:right w:type="dxa" w:w="160"/>
            </w:tcMar>
            <w:vAlign w:val="top"/>
          </w:tcPr>
          <w:p>
            <w:pPr>
              <w:spacing w:after="60" w:before="120"/>
            </w:pPr>
            <w:r>
              <w:rPr>
                <w:rFonts w:ascii="Arial" w:cs="Arial" w:eastAsia="Arial" w:hAnsi="Arial"/>
                <w:b/>
                <w:bCs/>
                <w:color w:val="C9A84C"/>
                <w:sz w:val="20"/>
                <w:szCs w:val="20"/>
              </w:rPr>
              <w:t xml:space="preserve">Programme</w:t>
            </w:r>
          </w:p>
        </w:tc>
        <w:tc>
          <w:tcPr>
            <w:tcW w:type="dxa" w:w="2520"/>
            <w:tcBorders>
              <w:top w:val="single" w:color="D6D9DE" w:sz="4"/>
              <w:left w:val="single" w:color="D6D9DE" w:sz="4"/>
              <w:bottom w:val="single" w:color="D6D9DE" w:sz="4"/>
              <w:right w:val="single" w:color="D6D9DE" w:sz="4"/>
            </w:tcBorders>
            <w:shd w:fill="F4F1E8" w:val="clear"/>
            <w:tcMar>
              <w:top w:type="dxa" w:w="160"/>
              <w:left w:type="dxa" w:w="160"/>
              <w:bottom w:type="dxa" w:w="160"/>
              <w:right w:type="dxa" w:w="160"/>
            </w:tcMar>
            <w:vAlign w:val="top"/>
          </w:tcPr>
          <w:p>
            <w:pPr>
              <w:spacing w:after="120" w:before="0" w:line="300"/>
              <w:jc w:val="left"/>
            </w:pPr>
            <w:r>
              <w:rPr>
                <w:rFonts w:ascii="Arial" w:cs="Arial" w:eastAsia="Arial" w:hAnsi="Arial"/>
                <w:color w:val="3B4A63"/>
                <w:sz w:val="20"/>
                <w:szCs w:val="20"/>
              </w:rPr>
              <w:t xml:space="preserve">12 – 16 weeks</w:t>
            </w:r>
          </w:p>
        </w:tc>
        <w:tc>
          <w:tcPr>
            <w:tcW w:type="dxa" w:w="5040"/>
            <w:tcBorders>
              <w:top w:val="single" w:color="D6D9DE" w:sz="4"/>
              <w:left w:val="single" w:color="D6D9DE" w:sz="4"/>
              <w:bottom w:val="single" w:color="D6D9DE" w:sz="4"/>
              <w:right w:val="single" w:color="D6D9DE" w:sz="4"/>
            </w:tcBorders>
            <w:shd w:fill="F4F1E8" w:val="clear"/>
            <w:tcMar>
              <w:top w:type="dxa" w:w="160"/>
              <w:left w:type="dxa" w:w="160"/>
              <w:bottom w:type="dxa" w:w="160"/>
              <w:right w:type="dxa" w:w="160"/>
            </w:tcMar>
            <w:vAlign w:val="top"/>
          </w:tcPr>
          <w:p>
            <w:pPr>
              <w:spacing w:after="120" w:before="0" w:line="300"/>
              <w:jc w:val="left"/>
            </w:pPr>
            <w:r>
              <w:rPr>
                <w:rFonts w:ascii="Arial" w:cs="Arial" w:eastAsia="Arial" w:hAnsi="Arial"/>
                <w:color w:val="3B4A63"/>
                <w:sz w:val="20"/>
                <w:szCs w:val="20"/>
              </w:rPr>
              <w:t xml:space="preserve">Multi-channel deployment (phone, WhatsApp, web), three to five named use cases, integrations with CRM and core systems, governance plan.</w:t>
            </w:r>
          </w:p>
        </w:tc>
      </w:tr>
      <w:tr>
        <w:tc>
          <w:tcPr>
            <w:tcW w:type="dxa" w:w="2520"/>
            <w:tcBorders>
              <w:top w:val="single" w:color="D6D9DE" w:sz="4"/>
              <w:left w:val="single" w:color="D6D9DE" w:sz="4"/>
              <w:bottom w:val="single" w:color="D6D9DE" w:sz="4"/>
              <w:right w:val="single" w:color="D6D9DE" w:sz="4"/>
            </w:tcBorders>
            <w:shd w:fill="FFFFFF" w:val="clear"/>
            <w:tcMar>
              <w:top w:type="dxa" w:w="160"/>
              <w:left w:type="dxa" w:w="160"/>
              <w:bottom w:type="dxa" w:w="160"/>
              <w:right w:type="dxa" w:w="160"/>
            </w:tcMar>
            <w:vAlign w:val="top"/>
          </w:tcPr>
          <w:p>
            <w:pPr>
              <w:spacing w:after="60" w:before="120"/>
            </w:pPr>
            <w:r>
              <w:rPr>
                <w:rFonts w:ascii="Arial" w:cs="Arial" w:eastAsia="Arial" w:hAnsi="Arial"/>
                <w:b/>
                <w:bCs/>
                <w:color w:val="003B8E"/>
                <w:sz w:val="20"/>
                <w:szCs w:val="20"/>
              </w:rPr>
              <w:t xml:space="preserve">Managed</w:t>
            </w:r>
          </w:p>
        </w:tc>
        <w:tc>
          <w:tcPr>
            <w:tcW w:type="dxa" w:w="2520"/>
            <w:tcBorders>
              <w:top w:val="single" w:color="D6D9DE" w:sz="4"/>
              <w:left w:val="single" w:color="D6D9DE" w:sz="4"/>
              <w:bottom w:val="single" w:color="D6D9DE" w:sz="4"/>
              <w:right w:val="single" w:color="D6D9DE" w:sz="4"/>
            </w:tcBorders>
            <w:tcMar>
              <w:top w:type="dxa" w:w="160"/>
              <w:left w:type="dxa" w:w="160"/>
              <w:bottom w:type="dxa" w:w="160"/>
              <w:right w:type="dxa" w:w="160"/>
            </w:tcMar>
            <w:vAlign w:val="top"/>
          </w:tcPr>
          <w:p>
            <w:pPr>
              <w:spacing w:after="120" w:before="0" w:line="300"/>
              <w:jc w:val="left"/>
            </w:pPr>
            <w:r>
              <w:rPr>
                <w:rFonts w:ascii="Arial" w:cs="Arial" w:eastAsia="Arial" w:hAnsi="Arial"/>
                <w:color w:val="3B4A63"/>
                <w:sz w:val="20"/>
                <w:szCs w:val="20"/>
              </w:rPr>
              <w:t xml:space="preserve">Ongoing</w:t>
            </w:r>
          </w:p>
        </w:tc>
        <w:tc>
          <w:tcPr>
            <w:tcW w:type="dxa" w:w="5040"/>
            <w:tcBorders>
              <w:top w:val="single" w:color="D6D9DE" w:sz="4"/>
              <w:left w:val="single" w:color="D6D9DE" w:sz="4"/>
              <w:bottom w:val="single" w:color="D6D9DE" w:sz="4"/>
              <w:right w:val="single" w:color="D6D9DE" w:sz="4"/>
            </w:tcBorders>
            <w:tcMar>
              <w:top w:type="dxa" w:w="160"/>
              <w:left w:type="dxa" w:w="160"/>
              <w:bottom w:type="dxa" w:w="160"/>
              <w:right w:type="dxa" w:w="160"/>
            </w:tcMar>
            <w:vAlign w:val="top"/>
          </w:tcPr>
          <w:p>
            <w:pPr>
              <w:spacing w:after="120" w:before="0" w:line="300"/>
              <w:jc w:val="left"/>
            </w:pPr>
            <w:r>
              <w:rPr>
                <w:rFonts w:ascii="Arial" w:cs="Arial" w:eastAsia="Arial" w:hAnsi="Arial"/>
                <w:color w:val="3B4A63"/>
                <w:sz w:val="20"/>
                <w:szCs w:val="20"/>
              </w:rPr>
              <w:t xml:space="preserve">Production-grade managed service with SLAs, language-model fine-tuning cycles, quarterly business reviews, and continuous optimisation.</w:t>
            </w:r>
          </w:p>
        </w:tc>
      </w:tr>
    </w:tbl>
    <w:p>
      <w:pPr>
        <w:spacing w:after="40" w:before="0"/>
      </w:pPr>
      <w:r>
        <w:rPr>
          <w:rFonts w:ascii="Arial" w:cs="Arial" w:eastAsia="Arial" w:hAnsi="Arial"/>
          <w:b/>
          <w:bCs/>
          <w:color w:val="C9A84C"/>
          <w:spacing w:val="30"/>
          <w:sz w:val="16"/>
          <w:szCs w:val="16"/>
        </w:rPr>
        <w:t xml:space="preserve">/ 06</w:t>
      </w:r>
    </w:p>
    <w:p>
      <w:pPr>
        <w:pStyle w:val="Heading1"/>
        <w:pageBreakBefore/>
        <w:spacing w:after="240" w:before="480"/>
      </w:pPr>
      <w:r>
        <w:rPr>
          <w:rFonts w:ascii="Arial" w:cs="Arial" w:eastAsia="Arial" w:hAnsi="Arial"/>
          <w:b/>
          <w:bCs/>
          <w:color w:val="0A1628"/>
          <w:sz w:val="36"/>
          <w:szCs w:val="36"/>
        </w:rPr>
        <w:t xml:space="preserve">Industries Served</w:t>
      </w:r>
    </w:p>
    <w:p>
      <w:pPr>
        <w:pBdr>
          <w:bottom w:val="single" w:color="C9A84C" w:sz="8" w:space="1"/>
        </w:pBdr>
        <w:spacing w:after="120" w:before="120"/>
      </w:pPr>
      <w:r>
        <w:t xml:space="preserve"/>
      </w:r>
    </w:p>
    <w:p>
      <w:pPr>
        <w:spacing w:after="320" w:before="80" w:line="300"/>
        <w:jc w:val="left"/>
      </w:pPr>
      <w:r>
        <w:rPr>
          <w:rFonts w:ascii="Arial" w:cs="Arial" w:eastAsia="Arial" w:hAnsi="Arial"/>
          <w:color w:val="0A1628"/>
          <w:sz w:val="22"/>
          <w:szCs w:val="22"/>
        </w:rPr>
        <w:t xml:space="preserve">We work in industries where compliance, sovereignty, and operational discipline are non-negotiable. Below are the eight sectors where we have documented multi-engagement delivery and the regulatory frameworks our practice operates under for each.</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800"/>
        <w:gridCol w:w="6080"/>
        <w:gridCol w:w="3200"/>
      </w:tblGrid>
      <w:tr>
        <w:tc>
          <w:tcPr>
            <w:tcW w:type="dxa" w:w="800"/>
            <w:tcBorders>
              <w:top w:val="single" w:color="D6D9DE" w:sz="4"/>
              <w:left w:val="single" w:color="D6D9DE" w:sz="4"/>
              <w:bottom w:val="single" w:color="D6D9DE" w:sz="4"/>
              <w:right w:val="single" w:color="D6D9DE" w:sz="4"/>
            </w:tcBorders>
            <w:shd w:fill="0A1628" w:val="clear"/>
            <w:tcMar>
              <w:top w:type="dxa" w:w="100"/>
              <w:left w:type="dxa" w:w="160"/>
              <w:bottom w:type="dxa" w:w="100"/>
              <w:right w:type="dxa" w:w="80"/>
            </w:tcMar>
            <w:vAlign w:val="center"/>
          </w:tcPr>
          <w:p>
            <w:pPr>
              <w:spacing w:after="120" w:before="0" w:line="300"/>
              <w:jc w:val="left"/>
            </w:pPr>
            <w:r>
              <w:rPr>
                <w:rFonts w:ascii="Arial" w:cs="Arial" w:eastAsia="Arial" w:hAnsi="Arial"/>
                <w:b/>
                <w:bCs/>
                <w:color w:val="FFFFFF"/>
                <w:spacing w:val="30"/>
                <w:sz w:val="13"/>
                <w:szCs w:val="13"/>
              </w:rPr>
              <w:t xml:space="preserve">#</w:t>
            </w:r>
          </w:p>
        </w:tc>
        <w:tc>
          <w:tcPr>
            <w:tcW w:type="dxa" w:w="6080"/>
            <w:tcBorders>
              <w:top w:val="single" w:color="D6D9DE" w:sz="4"/>
              <w:left w:val="single" w:color="D6D9DE" w:sz="4"/>
              <w:bottom w:val="single" w:color="D6D9DE" w:sz="4"/>
              <w:right w:val="single" w:color="D6D9DE" w:sz="4"/>
            </w:tcBorders>
            <w:shd w:fill="0A1628" w:val="clear"/>
            <w:tcMar>
              <w:top w:type="dxa" w:w="100"/>
              <w:left w:type="dxa" w:w="80"/>
              <w:bottom w:type="dxa" w:w="100"/>
              <w:right w:type="dxa" w:w="160"/>
            </w:tcMar>
            <w:vAlign w:val="center"/>
          </w:tcPr>
          <w:p>
            <w:pPr>
              <w:spacing w:after="120" w:before="0" w:line="300"/>
              <w:jc w:val="left"/>
            </w:pPr>
            <w:r>
              <w:rPr>
                <w:rFonts w:ascii="Arial" w:cs="Arial" w:eastAsia="Arial" w:hAnsi="Arial"/>
                <w:b/>
                <w:bCs/>
                <w:color w:val="FFFFFF"/>
                <w:spacing w:val="30"/>
                <w:sz w:val="13"/>
                <w:szCs w:val="13"/>
              </w:rPr>
              <w:t xml:space="preserve">INDUSTRY</w:t>
            </w:r>
          </w:p>
        </w:tc>
        <w:tc>
          <w:tcPr>
            <w:tcW w:type="dxa" w:w="3200"/>
            <w:tcBorders>
              <w:top w:val="single" w:color="D6D9DE" w:sz="4"/>
              <w:left w:val="single" w:color="D6D9DE" w:sz="4"/>
              <w:bottom w:val="single" w:color="D6D9DE" w:sz="4"/>
              <w:right w:val="single" w:color="D6D9DE" w:sz="4"/>
            </w:tcBorders>
            <w:shd w:fill="0A1628" w:val="clear"/>
            <w:tcMar>
              <w:top w:type="dxa" w:w="100"/>
              <w:left w:type="dxa" w:w="160"/>
              <w:bottom w:type="dxa" w:w="100"/>
              <w:right w:type="dxa" w:w="160"/>
            </w:tcMar>
            <w:vAlign w:val="center"/>
          </w:tcPr>
          <w:p>
            <w:pPr>
              <w:spacing w:after="120" w:before="0" w:line="300"/>
              <w:jc w:val="left"/>
            </w:pPr>
            <w:r>
              <w:rPr>
                <w:rFonts w:ascii="Arial" w:cs="Arial" w:eastAsia="Arial" w:hAnsi="Arial"/>
                <w:b/>
                <w:bCs/>
                <w:color w:val="FFFFFF"/>
                <w:spacing w:val="30"/>
                <w:sz w:val="13"/>
                <w:szCs w:val="13"/>
              </w:rPr>
              <w:t xml:space="preserve">FRAMEWORKS</w:t>
            </w:r>
          </w:p>
        </w:tc>
      </w:tr>
      <w:tr>
        <w:tc>
          <w:tcPr>
            <w:tcW w:type="dxa" w:w="800"/>
            <w:tcBorders>
              <w:top w:val="single" w:color="D6D9DE" w:sz="4"/>
              <w:left w:val="single" w:color="D6D9DE" w:sz="4"/>
              <w:bottom w:val="single" w:color="D6D9DE" w:sz="4"/>
              <w:right w:val="single" w:color="D6D9DE" w:sz="4"/>
            </w:tcBorders>
            <w:shd w:fill="FFFFFF" w:val="clear"/>
            <w:tcMar>
              <w:top w:type="dxa" w:w="100"/>
              <w:left w:type="dxa" w:w="160"/>
              <w:bottom w:type="dxa" w:w="100"/>
              <w:right w:type="dxa" w:w="80"/>
            </w:tcMar>
            <w:vAlign w:val="top"/>
          </w:tcPr>
          <w:p>
            <w:pPr>
              <w:spacing w:after="0" w:before="60"/>
            </w:pPr>
            <w:r>
              <w:rPr>
                <w:rFonts w:ascii="Arial" w:cs="Arial" w:eastAsia="Arial" w:hAnsi="Arial"/>
                <w:b/>
                <w:bCs/>
                <w:color w:val="C9A84C"/>
                <w:sz w:val="22"/>
                <w:szCs w:val="22"/>
              </w:rPr>
              <w:t xml:space="preserve">01</w:t>
            </w:r>
          </w:p>
        </w:tc>
        <w:tc>
          <w:tcPr>
            <w:tcW w:type="dxa" w:w="6080"/>
            <w:tcBorders>
              <w:top w:val="single" w:color="D6D9DE" w:sz="4"/>
              <w:left w:val="single" w:color="D6D9DE" w:sz="4"/>
              <w:bottom w:val="single" w:color="D6D9DE" w:sz="4"/>
              <w:right w:val="single" w:color="D6D9DE" w:sz="4"/>
            </w:tcBorders>
            <w:shd w:fill="FFFFFF" w:val="clear"/>
            <w:tcMar>
              <w:top w:type="dxa" w:w="100"/>
              <w:left w:type="dxa" w:w="80"/>
              <w:bottom w:type="dxa" w:w="100"/>
              <w:right w:type="dxa" w:w="160"/>
            </w:tcMar>
            <w:vAlign w:val="top"/>
          </w:tcPr>
          <w:p>
            <w:pPr>
              <w:spacing w:after="30" w:before="60"/>
            </w:pPr>
            <w:r>
              <w:rPr>
                <w:rFonts w:ascii="Arial" w:cs="Arial" w:eastAsia="Arial" w:hAnsi="Arial"/>
                <w:b/>
                <w:bCs/>
                <w:color w:val="0A1628"/>
                <w:sz w:val="20"/>
                <w:szCs w:val="20"/>
              </w:rPr>
              <w:t xml:space="preserve">Financial Services</w:t>
            </w:r>
          </w:p>
          <w:p>
            <w:pPr>
              <w:spacing w:after="0" w:before="0" w:line="300"/>
              <w:jc w:val="left"/>
            </w:pPr>
            <w:r>
              <w:rPr>
                <w:rFonts w:ascii="Arial" w:cs="Arial" w:eastAsia="Arial" w:hAnsi="Arial"/>
                <w:color w:val="3B4A63"/>
                <w:sz w:val="15"/>
                <w:szCs w:val="15"/>
              </w:rPr>
              <w:t xml:space="preserve">Banking, capital markets, and insurance — core systems, AML/CFT, fraud analytics, eKYC and onboarding, open banking under SAMA Phase 1 and 2 readiness.</w:t>
            </w:r>
          </w:p>
        </w:tc>
        <w:tc>
          <w:tcPr>
            <w:tcW w:type="dxa" w:w="3200"/>
            <w:tcBorders>
              <w:top w:val="single" w:color="D6D9DE" w:sz="4"/>
              <w:left w:val="single" w:color="D6D9DE" w:sz="4"/>
              <w:bottom w:val="single" w:color="D6D9DE" w:sz="4"/>
              <w:right w:val="single" w:color="D6D9DE" w:sz="4"/>
            </w:tcBorders>
            <w:shd w:fill="FFFFFF" w:val="clear"/>
            <w:tcMar>
              <w:top w:type="dxa" w:w="100"/>
              <w:left w:type="dxa" w:w="160"/>
              <w:bottom w:type="dxa" w:w="100"/>
              <w:right w:type="dxa" w:w="160"/>
            </w:tcMar>
            <w:vAlign w:val="top"/>
          </w:tcPr>
          <w:p>
            <w:pPr>
              <w:spacing w:after="0" w:before="0" w:line="300"/>
              <w:jc w:val="left"/>
            </w:pPr>
            <w:r>
              <w:rPr>
                <w:rFonts w:ascii="Arial" w:cs="Arial" w:eastAsia="Arial" w:hAnsi="Arial"/>
                <w:b/>
                <w:bCs/>
                <w:color w:val="003B8E"/>
                <w:spacing w:val="20"/>
                <w:sz w:val="13"/>
                <w:szCs w:val="13"/>
              </w:rPr>
              <w:t xml:space="preserve">SAMA · BASEL III · AML/CFT · RBI · PCI DSS</w:t>
            </w:r>
          </w:p>
        </w:tc>
      </w:tr>
      <w:tr>
        <w:tc>
          <w:tcPr>
            <w:tcW w:type="dxa" w:w="800"/>
            <w:tcBorders>
              <w:top w:val="single" w:color="D6D9DE" w:sz="4"/>
              <w:left w:val="single" w:color="D6D9DE" w:sz="4"/>
              <w:bottom w:val="single" w:color="D6D9DE" w:sz="4"/>
              <w:right w:val="single" w:color="D6D9DE" w:sz="4"/>
            </w:tcBorders>
            <w:shd w:fill="F4F1E8" w:val="clear"/>
            <w:tcMar>
              <w:top w:type="dxa" w:w="100"/>
              <w:left w:type="dxa" w:w="160"/>
              <w:bottom w:type="dxa" w:w="100"/>
              <w:right w:type="dxa" w:w="80"/>
            </w:tcMar>
            <w:vAlign w:val="top"/>
          </w:tcPr>
          <w:p>
            <w:pPr>
              <w:spacing w:after="0" w:before="60"/>
            </w:pPr>
            <w:r>
              <w:rPr>
                <w:rFonts w:ascii="Arial" w:cs="Arial" w:eastAsia="Arial" w:hAnsi="Arial"/>
                <w:b/>
                <w:bCs/>
                <w:color w:val="C9A84C"/>
                <w:sz w:val="22"/>
                <w:szCs w:val="22"/>
              </w:rPr>
              <w:t xml:space="preserve">02</w:t>
            </w:r>
          </w:p>
        </w:tc>
        <w:tc>
          <w:tcPr>
            <w:tcW w:type="dxa" w:w="6080"/>
            <w:tcBorders>
              <w:top w:val="single" w:color="D6D9DE" w:sz="4"/>
              <w:left w:val="single" w:color="D6D9DE" w:sz="4"/>
              <w:bottom w:val="single" w:color="D6D9DE" w:sz="4"/>
              <w:right w:val="single" w:color="D6D9DE" w:sz="4"/>
            </w:tcBorders>
            <w:shd w:fill="F4F1E8" w:val="clear"/>
            <w:tcMar>
              <w:top w:type="dxa" w:w="100"/>
              <w:left w:type="dxa" w:w="80"/>
              <w:bottom w:type="dxa" w:w="100"/>
              <w:right w:type="dxa" w:w="160"/>
            </w:tcMar>
            <w:vAlign w:val="top"/>
          </w:tcPr>
          <w:p>
            <w:pPr>
              <w:spacing w:after="30" w:before="60"/>
            </w:pPr>
            <w:r>
              <w:rPr>
                <w:rFonts w:ascii="Arial" w:cs="Arial" w:eastAsia="Arial" w:hAnsi="Arial"/>
                <w:b/>
                <w:bCs/>
                <w:color w:val="0A1628"/>
                <w:sz w:val="20"/>
                <w:szCs w:val="20"/>
              </w:rPr>
              <w:t xml:space="preserve">Government &amp; Public Sector</w:t>
            </w:r>
          </w:p>
          <w:p>
            <w:pPr>
              <w:spacing w:after="0" w:before="0" w:line="300"/>
              <w:jc w:val="left"/>
            </w:pPr>
            <w:r>
              <w:rPr>
                <w:rFonts w:ascii="Arial" w:cs="Arial" w:eastAsia="Arial" w:hAnsi="Arial"/>
                <w:color w:val="3B4A63"/>
                <w:sz w:val="15"/>
                <w:szCs w:val="15"/>
              </w:rPr>
              <w:t xml:space="preserve">Vision 2030 transformation programmes, sovereign cloud architecture, citizen service platforms, AI governance under SDAIA frameworks.</w:t>
            </w:r>
          </w:p>
        </w:tc>
        <w:tc>
          <w:tcPr>
            <w:tcW w:type="dxa" w:w="3200"/>
            <w:tcBorders>
              <w:top w:val="single" w:color="D6D9DE" w:sz="4"/>
              <w:left w:val="single" w:color="D6D9DE" w:sz="4"/>
              <w:bottom w:val="single" w:color="D6D9DE" w:sz="4"/>
              <w:right w:val="single" w:color="D6D9DE" w:sz="4"/>
            </w:tcBorders>
            <w:shd w:fill="F4F1E8" w:val="clear"/>
            <w:tcMar>
              <w:top w:type="dxa" w:w="100"/>
              <w:left w:type="dxa" w:w="160"/>
              <w:bottom w:type="dxa" w:w="100"/>
              <w:right w:type="dxa" w:w="160"/>
            </w:tcMar>
            <w:vAlign w:val="top"/>
          </w:tcPr>
          <w:p>
            <w:pPr>
              <w:spacing w:after="0" w:before="0" w:line="300"/>
              <w:jc w:val="left"/>
            </w:pPr>
            <w:r>
              <w:rPr>
                <w:rFonts w:ascii="Arial" w:cs="Arial" w:eastAsia="Arial" w:hAnsi="Arial"/>
                <w:b/>
                <w:bCs/>
                <w:color w:val="003B8E"/>
                <w:spacing w:val="20"/>
                <w:sz w:val="13"/>
                <w:szCs w:val="13"/>
              </w:rPr>
              <w:t xml:space="preserve">VISION 2030 · SDAIA · NCA · DGA · ISO 42001</w:t>
            </w:r>
          </w:p>
        </w:tc>
      </w:tr>
      <w:tr>
        <w:tc>
          <w:tcPr>
            <w:tcW w:type="dxa" w:w="800"/>
            <w:tcBorders>
              <w:top w:val="single" w:color="D6D9DE" w:sz="4"/>
              <w:left w:val="single" w:color="D6D9DE" w:sz="4"/>
              <w:bottom w:val="single" w:color="D6D9DE" w:sz="4"/>
              <w:right w:val="single" w:color="D6D9DE" w:sz="4"/>
            </w:tcBorders>
            <w:shd w:fill="FFFFFF" w:val="clear"/>
            <w:tcMar>
              <w:top w:type="dxa" w:w="100"/>
              <w:left w:type="dxa" w:w="160"/>
              <w:bottom w:type="dxa" w:w="100"/>
              <w:right w:type="dxa" w:w="80"/>
            </w:tcMar>
            <w:vAlign w:val="top"/>
          </w:tcPr>
          <w:p>
            <w:pPr>
              <w:spacing w:after="0" w:before="60"/>
            </w:pPr>
            <w:r>
              <w:rPr>
                <w:rFonts w:ascii="Arial" w:cs="Arial" w:eastAsia="Arial" w:hAnsi="Arial"/>
                <w:b/>
                <w:bCs/>
                <w:color w:val="C9A84C"/>
                <w:sz w:val="22"/>
                <w:szCs w:val="22"/>
              </w:rPr>
              <w:t xml:space="preserve">03</w:t>
            </w:r>
          </w:p>
        </w:tc>
        <w:tc>
          <w:tcPr>
            <w:tcW w:type="dxa" w:w="6080"/>
            <w:tcBorders>
              <w:top w:val="single" w:color="D6D9DE" w:sz="4"/>
              <w:left w:val="single" w:color="D6D9DE" w:sz="4"/>
              <w:bottom w:val="single" w:color="D6D9DE" w:sz="4"/>
              <w:right w:val="single" w:color="D6D9DE" w:sz="4"/>
            </w:tcBorders>
            <w:shd w:fill="FFFFFF" w:val="clear"/>
            <w:tcMar>
              <w:top w:type="dxa" w:w="100"/>
              <w:left w:type="dxa" w:w="80"/>
              <w:bottom w:type="dxa" w:w="100"/>
              <w:right w:type="dxa" w:w="160"/>
            </w:tcMar>
            <w:vAlign w:val="top"/>
          </w:tcPr>
          <w:p>
            <w:pPr>
              <w:spacing w:after="30" w:before="60"/>
            </w:pPr>
            <w:r>
              <w:rPr>
                <w:rFonts w:ascii="Arial" w:cs="Arial" w:eastAsia="Arial" w:hAnsi="Arial"/>
                <w:b/>
                <w:bCs/>
                <w:color w:val="0A1628"/>
                <w:sz w:val="20"/>
                <w:szCs w:val="20"/>
              </w:rPr>
              <w:t xml:space="preserve">Energy &amp; Utilities</w:t>
            </w:r>
          </w:p>
          <w:p>
            <w:pPr>
              <w:spacing w:after="0" w:before="0" w:line="300"/>
              <w:jc w:val="left"/>
            </w:pPr>
            <w:r>
              <w:rPr>
                <w:rFonts w:ascii="Arial" w:cs="Arial" w:eastAsia="Arial" w:hAnsi="Arial"/>
                <w:color w:val="3B4A63"/>
                <w:sz w:val="15"/>
                <w:szCs w:val="15"/>
              </w:rPr>
              <w:t xml:space="preserve">Hydrocarbons, power, and renewables — OT/IT convergence, SCADA security, smart-grid integration, asset performance management.</w:t>
            </w:r>
          </w:p>
        </w:tc>
        <w:tc>
          <w:tcPr>
            <w:tcW w:type="dxa" w:w="3200"/>
            <w:tcBorders>
              <w:top w:val="single" w:color="D6D9DE" w:sz="4"/>
              <w:left w:val="single" w:color="D6D9DE" w:sz="4"/>
              <w:bottom w:val="single" w:color="D6D9DE" w:sz="4"/>
              <w:right w:val="single" w:color="D6D9DE" w:sz="4"/>
            </w:tcBorders>
            <w:shd w:fill="FFFFFF" w:val="clear"/>
            <w:tcMar>
              <w:top w:type="dxa" w:w="100"/>
              <w:left w:type="dxa" w:w="160"/>
              <w:bottom w:type="dxa" w:w="100"/>
              <w:right w:type="dxa" w:w="160"/>
            </w:tcMar>
            <w:vAlign w:val="top"/>
          </w:tcPr>
          <w:p>
            <w:pPr>
              <w:spacing w:after="0" w:before="0" w:line="300"/>
              <w:jc w:val="left"/>
            </w:pPr>
            <w:r>
              <w:rPr>
                <w:rFonts w:ascii="Arial" w:cs="Arial" w:eastAsia="Arial" w:hAnsi="Arial"/>
                <w:b/>
                <w:bCs/>
                <w:color w:val="003B8E"/>
                <w:spacing w:val="20"/>
                <w:sz w:val="13"/>
                <w:szCs w:val="13"/>
              </w:rPr>
              <w:t xml:space="preserve">IEC 62443 · NCA OT-CSF · NIST CSF · ISO 27019</w:t>
            </w:r>
          </w:p>
        </w:tc>
      </w:tr>
      <w:tr>
        <w:tc>
          <w:tcPr>
            <w:tcW w:type="dxa" w:w="800"/>
            <w:tcBorders>
              <w:top w:val="single" w:color="D6D9DE" w:sz="4"/>
              <w:left w:val="single" w:color="D6D9DE" w:sz="4"/>
              <w:bottom w:val="single" w:color="D6D9DE" w:sz="4"/>
              <w:right w:val="single" w:color="D6D9DE" w:sz="4"/>
            </w:tcBorders>
            <w:shd w:fill="F4F1E8" w:val="clear"/>
            <w:tcMar>
              <w:top w:type="dxa" w:w="100"/>
              <w:left w:type="dxa" w:w="160"/>
              <w:bottom w:type="dxa" w:w="100"/>
              <w:right w:type="dxa" w:w="80"/>
            </w:tcMar>
            <w:vAlign w:val="top"/>
          </w:tcPr>
          <w:p>
            <w:pPr>
              <w:spacing w:after="0" w:before="60"/>
            </w:pPr>
            <w:r>
              <w:rPr>
                <w:rFonts w:ascii="Arial" w:cs="Arial" w:eastAsia="Arial" w:hAnsi="Arial"/>
                <w:b/>
                <w:bCs/>
                <w:color w:val="C9A84C"/>
                <w:sz w:val="22"/>
                <w:szCs w:val="22"/>
              </w:rPr>
              <w:t xml:space="preserve">04</w:t>
            </w:r>
          </w:p>
        </w:tc>
        <w:tc>
          <w:tcPr>
            <w:tcW w:type="dxa" w:w="6080"/>
            <w:tcBorders>
              <w:top w:val="single" w:color="D6D9DE" w:sz="4"/>
              <w:left w:val="single" w:color="D6D9DE" w:sz="4"/>
              <w:bottom w:val="single" w:color="D6D9DE" w:sz="4"/>
              <w:right w:val="single" w:color="D6D9DE" w:sz="4"/>
            </w:tcBorders>
            <w:shd w:fill="F4F1E8" w:val="clear"/>
            <w:tcMar>
              <w:top w:type="dxa" w:w="100"/>
              <w:left w:type="dxa" w:w="80"/>
              <w:bottom w:type="dxa" w:w="100"/>
              <w:right w:type="dxa" w:w="160"/>
            </w:tcMar>
            <w:vAlign w:val="top"/>
          </w:tcPr>
          <w:p>
            <w:pPr>
              <w:spacing w:after="30" w:before="60"/>
            </w:pPr>
            <w:r>
              <w:rPr>
                <w:rFonts w:ascii="Arial" w:cs="Arial" w:eastAsia="Arial" w:hAnsi="Arial"/>
                <w:b/>
                <w:bCs/>
                <w:color w:val="0A1628"/>
                <w:sz w:val="20"/>
                <w:szCs w:val="20"/>
              </w:rPr>
              <w:t xml:space="preserve">Healthcare &amp; Life Sciences</w:t>
            </w:r>
          </w:p>
          <w:p>
            <w:pPr>
              <w:spacing w:after="0" w:before="0" w:line="300"/>
              <w:jc w:val="left"/>
            </w:pPr>
            <w:r>
              <w:rPr>
                <w:rFonts w:ascii="Arial" w:cs="Arial" w:eastAsia="Arial" w:hAnsi="Arial"/>
                <w:color w:val="3B4A63"/>
                <w:sz w:val="15"/>
                <w:szCs w:val="15"/>
              </w:rPr>
              <w:t xml:space="preserve">Hospitals, payors, and digital health — EMR integration, NPHIES connectivity, CCHI claims architecture, telehealth and AI-assisted clinical workflows.</w:t>
            </w:r>
          </w:p>
        </w:tc>
        <w:tc>
          <w:tcPr>
            <w:tcW w:type="dxa" w:w="3200"/>
            <w:tcBorders>
              <w:top w:val="single" w:color="D6D9DE" w:sz="4"/>
              <w:left w:val="single" w:color="D6D9DE" w:sz="4"/>
              <w:bottom w:val="single" w:color="D6D9DE" w:sz="4"/>
              <w:right w:val="single" w:color="D6D9DE" w:sz="4"/>
            </w:tcBorders>
            <w:shd w:fill="F4F1E8" w:val="clear"/>
            <w:tcMar>
              <w:top w:type="dxa" w:w="100"/>
              <w:left w:type="dxa" w:w="160"/>
              <w:bottom w:type="dxa" w:w="100"/>
              <w:right w:type="dxa" w:w="160"/>
            </w:tcMar>
            <w:vAlign w:val="top"/>
          </w:tcPr>
          <w:p>
            <w:pPr>
              <w:spacing w:after="0" w:before="0" w:line="300"/>
              <w:jc w:val="left"/>
            </w:pPr>
            <w:r>
              <w:rPr>
                <w:rFonts w:ascii="Arial" w:cs="Arial" w:eastAsia="Arial" w:hAnsi="Arial"/>
                <w:b/>
                <w:bCs/>
                <w:color w:val="003B8E"/>
                <w:spacing w:val="20"/>
                <w:sz w:val="13"/>
                <w:szCs w:val="13"/>
              </w:rPr>
              <w:t xml:space="preserve">NPHIES · CCHI · NHRA · HIPAA-EQUIV. · DPDP</w:t>
            </w:r>
          </w:p>
        </w:tc>
      </w:tr>
      <w:tr>
        <w:tc>
          <w:tcPr>
            <w:tcW w:type="dxa" w:w="800"/>
            <w:tcBorders>
              <w:top w:val="single" w:color="D6D9DE" w:sz="4"/>
              <w:left w:val="single" w:color="D6D9DE" w:sz="4"/>
              <w:bottom w:val="single" w:color="D6D9DE" w:sz="4"/>
              <w:right w:val="single" w:color="D6D9DE" w:sz="4"/>
            </w:tcBorders>
            <w:shd w:fill="FFFFFF" w:val="clear"/>
            <w:tcMar>
              <w:top w:type="dxa" w:w="100"/>
              <w:left w:type="dxa" w:w="160"/>
              <w:bottom w:type="dxa" w:w="100"/>
              <w:right w:type="dxa" w:w="80"/>
            </w:tcMar>
            <w:vAlign w:val="top"/>
          </w:tcPr>
          <w:p>
            <w:pPr>
              <w:spacing w:after="0" w:before="60"/>
            </w:pPr>
            <w:r>
              <w:rPr>
                <w:rFonts w:ascii="Arial" w:cs="Arial" w:eastAsia="Arial" w:hAnsi="Arial"/>
                <w:b/>
                <w:bCs/>
                <w:color w:val="C9A84C"/>
                <w:sz w:val="22"/>
                <w:szCs w:val="22"/>
              </w:rPr>
              <w:t xml:space="preserve">05</w:t>
            </w:r>
          </w:p>
        </w:tc>
        <w:tc>
          <w:tcPr>
            <w:tcW w:type="dxa" w:w="6080"/>
            <w:tcBorders>
              <w:top w:val="single" w:color="D6D9DE" w:sz="4"/>
              <w:left w:val="single" w:color="D6D9DE" w:sz="4"/>
              <w:bottom w:val="single" w:color="D6D9DE" w:sz="4"/>
              <w:right w:val="single" w:color="D6D9DE" w:sz="4"/>
            </w:tcBorders>
            <w:shd w:fill="FFFFFF" w:val="clear"/>
            <w:tcMar>
              <w:top w:type="dxa" w:w="100"/>
              <w:left w:type="dxa" w:w="80"/>
              <w:bottom w:type="dxa" w:w="100"/>
              <w:right w:type="dxa" w:w="160"/>
            </w:tcMar>
            <w:vAlign w:val="top"/>
          </w:tcPr>
          <w:p>
            <w:pPr>
              <w:spacing w:after="30" w:before="60"/>
            </w:pPr>
            <w:r>
              <w:rPr>
                <w:rFonts w:ascii="Arial" w:cs="Arial" w:eastAsia="Arial" w:hAnsi="Arial"/>
                <w:b/>
                <w:bCs/>
                <w:color w:val="0A1628"/>
                <w:sz w:val="20"/>
                <w:szCs w:val="20"/>
              </w:rPr>
              <w:t xml:space="preserve">Real Estate &amp; Hospitality</w:t>
            </w:r>
          </w:p>
          <w:p>
            <w:pPr>
              <w:spacing w:after="0" w:before="0" w:line="300"/>
              <w:jc w:val="left"/>
            </w:pPr>
            <w:r>
              <w:rPr>
                <w:rFonts w:ascii="Arial" w:cs="Arial" w:eastAsia="Arial" w:hAnsi="Arial"/>
                <w:color w:val="3B4A63"/>
                <w:sz w:val="15"/>
                <w:szCs w:val="15"/>
              </w:rPr>
              <w:t xml:space="preserve">PMS integration, lease accounting, smart-building telemetry, guest experience programmes for tourism and hospitality groups.</w:t>
            </w:r>
          </w:p>
        </w:tc>
        <w:tc>
          <w:tcPr>
            <w:tcW w:type="dxa" w:w="3200"/>
            <w:tcBorders>
              <w:top w:val="single" w:color="D6D9DE" w:sz="4"/>
              <w:left w:val="single" w:color="D6D9DE" w:sz="4"/>
              <w:bottom w:val="single" w:color="D6D9DE" w:sz="4"/>
              <w:right w:val="single" w:color="D6D9DE" w:sz="4"/>
            </w:tcBorders>
            <w:shd w:fill="FFFFFF" w:val="clear"/>
            <w:tcMar>
              <w:top w:type="dxa" w:w="100"/>
              <w:left w:type="dxa" w:w="160"/>
              <w:bottom w:type="dxa" w:w="100"/>
              <w:right w:type="dxa" w:w="160"/>
            </w:tcMar>
            <w:vAlign w:val="top"/>
          </w:tcPr>
          <w:p>
            <w:pPr>
              <w:spacing w:after="0" w:before="0" w:line="300"/>
              <w:jc w:val="left"/>
            </w:pPr>
            <w:r>
              <w:rPr>
                <w:rFonts w:ascii="Arial" w:cs="Arial" w:eastAsia="Arial" w:hAnsi="Arial"/>
                <w:b/>
                <w:bCs/>
                <w:color w:val="003B8E"/>
                <w:spacing w:val="20"/>
                <w:sz w:val="13"/>
                <w:szCs w:val="13"/>
              </w:rPr>
              <w:t xml:space="preserve">REGA · MOMRAH · DTCM · RERA</w:t>
            </w:r>
          </w:p>
        </w:tc>
      </w:tr>
      <w:tr>
        <w:tc>
          <w:tcPr>
            <w:tcW w:type="dxa" w:w="800"/>
            <w:tcBorders>
              <w:top w:val="single" w:color="D6D9DE" w:sz="4"/>
              <w:left w:val="single" w:color="D6D9DE" w:sz="4"/>
              <w:bottom w:val="single" w:color="D6D9DE" w:sz="4"/>
              <w:right w:val="single" w:color="D6D9DE" w:sz="4"/>
            </w:tcBorders>
            <w:shd w:fill="F4F1E8" w:val="clear"/>
            <w:tcMar>
              <w:top w:type="dxa" w:w="100"/>
              <w:left w:type="dxa" w:w="160"/>
              <w:bottom w:type="dxa" w:w="100"/>
              <w:right w:type="dxa" w:w="80"/>
            </w:tcMar>
            <w:vAlign w:val="top"/>
          </w:tcPr>
          <w:p>
            <w:pPr>
              <w:spacing w:after="0" w:before="60"/>
            </w:pPr>
            <w:r>
              <w:rPr>
                <w:rFonts w:ascii="Arial" w:cs="Arial" w:eastAsia="Arial" w:hAnsi="Arial"/>
                <w:b/>
                <w:bCs/>
                <w:color w:val="C9A84C"/>
                <w:sz w:val="22"/>
                <w:szCs w:val="22"/>
              </w:rPr>
              <w:t xml:space="preserve">06</w:t>
            </w:r>
          </w:p>
        </w:tc>
        <w:tc>
          <w:tcPr>
            <w:tcW w:type="dxa" w:w="6080"/>
            <w:tcBorders>
              <w:top w:val="single" w:color="D6D9DE" w:sz="4"/>
              <w:left w:val="single" w:color="D6D9DE" w:sz="4"/>
              <w:bottom w:val="single" w:color="D6D9DE" w:sz="4"/>
              <w:right w:val="single" w:color="D6D9DE" w:sz="4"/>
            </w:tcBorders>
            <w:shd w:fill="F4F1E8" w:val="clear"/>
            <w:tcMar>
              <w:top w:type="dxa" w:w="100"/>
              <w:left w:type="dxa" w:w="80"/>
              <w:bottom w:type="dxa" w:w="100"/>
              <w:right w:type="dxa" w:w="160"/>
            </w:tcMar>
            <w:vAlign w:val="top"/>
          </w:tcPr>
          <w:p>
            <w:pPr>
              <w:spacing w:after="30" w:before="60"/>
            </w:pPr>
            <w:r>
              <w:rPr>
                <w:rFonts w:ascii="Arial" w:cs="Arial" w:eastAsia="Arial" w:hAnsi="Arial"/>
                <w:b/>
                <w:bCs/>
                <w:color w:val="0A1628"/>
                <w:sz w:val="20"/>
                <w:szCs w:val="20"/>
              </w:rPr>
              <w:t xml:space="preserve">Retail &amp; E-Commerce</w:t>
            </w:r>
          </w:p>
          <w:p>
            <w:pPr>
              <w:spacing w:after="0" w:before="0" w:line="300"/>
              <w:jc w:val="left"/>
            </w:pPr>
            <w:r>
              <w:rPr>
                <w:rFonts w:ascii="Arial" w:cs="Arial" w:eastAsia="Arial" w:hAnsi="Arial"/>
                <w:color w:val="3B4A63"/>
                <w:sz w:val="15"/>
                <w:szCs w:val="15"/>
              </w:rPr>
              <w:t xml:space="preserve">ZATCA Phase 2-compliant invoicing, omnichannel commerce, payments and loyalty integration, GCC and India market scaling.</w:t>
            </w:r>
          </w:p>
        </w:tc>
        <w:tc>
          <w:tcPr>
            <w:tcW w:type="dxa" w:w="3200"/>
            <w:tcBorders>
              <w:top w:val="single" w:color="D6D9DE" w:sz="4"/>
              <w:left w:val="single" w:color="D6D9DE" w:sz="4"/>
              <w:bottom w:val="single" w:color="D6D9DE" w:sz="4"/>
              <w:right w:val="single" w:color="D6D9DE" w:sz="4"/>
            </w:tcBorders>
            <w:shd w:fill="F4F1E8" w:val="clear"/>
            <w:tcMar>
              <w:top w:type="dxa" w:w="100"/>
              <w:left w:type="dxa" w:w="160"/>
              <w:bottom w:type="dxa" w:w="100"/>
              <w:right w:type="dxa" w:w="160"/>
            </w:tcMar>
            <w:vAlign w:val="top"/>
          </w:tcPr>
          <w:p>
            <w:pPr>
              <w:spacing w:after="0" w:before="0" w:line="300"/>
              <w:jc w:val="left"/>
            </w:pPr>
            <w:r>
              <w:rPr>
                <w:rFonts w:ascii="Arial" w:cs="Arial" w:eastAsia="Arial" w:hAnsi="Arial"/>
                <w:b/>
                <w:bCs/>
                <w:color w:val="003B8E"/>
                <w:spacing w:val="20"/>
                <w:sz w:val="13"/>
                <w:szCs w:val="13"/>
              </w:rPr>
              <w:t xml:space="preserve">ZATCA P2 · SAMA PAYMENTS · RBI PA/PG · PCI DSS</w:t>
            </w:r>
          </w:p>
        </w:tc>
      </w:tr>
      <w:tr>
        <w:tc>
          <w:tcPr>
            <w:tcW w:type="dxa" w:w="800"/>
            <w:tcBorders>
              <w:top w:val="single" w:color="D6D9DE" w:sz="4"/>
              <w:left w:val="single" w:color="D6D9DE" w:sz="4"/>
              <w:bottom w:val="single" w:color="D6D9DE" w:sz="4"/>
              <w:right w:val="single" w:color="D6D9DE" w:sz="4"/>
            </w:tcBorders>
            <w:shd w:fill="FFFFFF" w:val="clear"/>
            <w:tcMar>
              <w:top w:type="dxa" w:w="100"/>
              <w:left w:type="dxa" w:w="160"/>
              <w:bottom w:type="dxa" w:w="100"/>
              <w:right w:type="dxa" w:w="80"/>
            </w:tcMar>
            <w:vAlign w:val="top"/>
          </w:tcPr>
          <w:p>
            <w:pPr>
              <w:spacing w:after="0" w:before="60"/>
            </w:pPr>
            <w:r>
              <w:rPr>
                <w:rFonts w:ascii="Arial" w:cs="Arial" w:eastAsia="Arial" w:hAnsi="Arial"/>
                <w:b/>
                <w:bCs/>
                <w:color w:val="C9A84C"/>
                <w:sz w:val="22"/>
                <w:szCs w:val="22"/>
              </w:rPr>
              <w:t xml:space="preserve">07</w:t>
            </w:r>
          </w:p>
        </w:tc>
        <w:tc>
          <w:tcPr>
            <w:tcW w:type="dxa" w:w="6080"/>
            <w:tcBorders>
              <w:top w:val="single" w:color="D6D9DE" w:sz="4"/>
              <w:left w:val="single" w:color="D6D9DE" w:sz="4"/>
              <w:bottom w:val="single" w:color="D6D9DE" w:sz="4"/>
              <w:right w:val="single" w:color="D6D9DE" w:sz="4"/>
            </w:tcBorders>
            <w:shd w:fill="FFFFFF" w:val="clear"/>
            <w:tcMar>
              <w:top w:type="dxa" w:w="100"/>
              <w:left w:type="dxa" w:w="80"/>
              <w:bottom w:type="dxa" w:w="100"/>
              <w:right w:type="dxa" w:w="160"/>
            </w:tcMar>
            <w:vAlign w:val="top"/>
          </w:tcPr>
          <w:p>
            <w:pPr>
              <w:spacing w:after="30" w:before="60"/>
            </w:pPr>
            <w:r>
              <w:rPr>
                <w:rFonts w:ascii="Arial" w:cs="Arial" w:eastAsia="Arial" w:hAnsi="Arial"/>
                <w:b/>
                <w:bCs/>
                <w:color w:val="0A1628"/>
                <w:sz w:val="20"/>
                <w:szCs w:val="20"/>
              </w:rPr>
              <w:t xml:space="preserve">Manufacturing &amp; Logistics</w:t>
            </w:r>
          </w:p>
          <w:p>
            <w:pPr>
              <w:spacing w:after="0" w:before="0" w:line="300"/>
              <w:jc w:val="left"/>
            </w:pPr>
            <w:r>
              <w:rPr>
                <w:rFonts w:ascii="Arial" w:cs="Arial" w:eastAsia="Arial" w:hAnsi="Arial"/>
                <w:color w:val="3B4A63"/>
                <w:sz w:val="15"/>
                <w:szCs w:val="15"/>
              </w:rPr>
              <w:t xml:space="preserve">MES integration, supply-chain visibility, cross-border logistics platforms, Industry 4.0 deployments and export-grade traceability.</w:t>
            </w:r>
          </w:p>
        </w:tc>
        <w:tc>
          <w:tcPr>
            <w:tcW w:type="dxa" w:w="3200"/>
            <w:tcBorders>
              <w:top w:val="single" w:color="D6D9DE" w:sz="4"/>
              <w:left w:val="single" w:color="D6D9DE" w:sz="4"/>
              <w:bottom w:val="single" w:color="D6D9DE" w:sz="4"/>
              <w:right w:val="single" w:color="D6D9DE" w:sz="4"/>
            </w:tcBorders>
            <w:shd w:fill="FFFFFF" w:val="clear"/>
            <w:tcMar>
              <w:top w:type="dxa" w:w="100"/>
              <w:left w:type="dxa" w:w="160"/>
              <w:bottom w:type="dxa" w:w="100"/>
              <w:right w:type="dxa" w:w="160"/>
            </w:tcMar>
            <w:vAlign w:val="top"/>
          </w:tcPr>
          <w:p>
            <w:pPr>
              <w:spacing w:after="0" w:before="0" w:line="300"/>
              <w:jc w:val="left"/>
            </w:pPr>
            <w:r>
              <w:rPr>
                <w:rFonts w:ascii="Arial" w:cs="Arial" w:eastAsia="Arial" w:hAnsi="Arial"/>
                <w:b/>
                <w:bCs/>
                <w:color w:val="003B8E"/>
                <w:spacing w:val="20"/>
                <w:sz w:val="13"/>
                <w:szCs w:val="13"/>
              </w:rPr>
              <w:t xml:space="preserve">ZATCA · MODON · SASO · ISO 27001 · ISO 9001</w:t>
            </w:r>
          </w:p>
        </w:tc>
      </w:tr>
      <w:tr>
        <w:tc>
          <w:tcPr>
            <w:tcW w:type="dxa" w:w="800"/>
            <w:tcBorders>
              <w:top w:val="single" w:color="D6D9DE" w:sz="4"/>
              <w:left w:val="single" w:color="D6D9DE" w:sz="4"/>
              <w:bottom w:val="single" w:color="D6D9DE" w:sz="4"/>
              <w:right w:val="single" w:color="D6D9DE" w:sz="4"/>
            </w:tcBorders>
            <w:shd w:fill="F4F1E8" w:val="clear"/>
            <w:tcMar>
              <w:top w:type="dxa" w:w="100"/>
              <w:left w:type="dxa" w:w="160"/>
              <w:bottom w:type="dxa" w:w="100"/>
              <w:right w:type="dxa" w:w="80"/>
            </w:tcMar>
            <w:vAlign w:val="top"/>
          </w:tcPr>
          <w:p>
            <w:pPr>
              <w:spacing w:after="0" w:before="60"/>
            </w:pPr>
            <w:r>
              <w:rPr>
                <w:rFonts w:ascii="Arial" w:cs="Arial" w:eastAsia="Arial" w:hAnsi="Arial"/>
                <w:b/>
                <w:bCs/>
                <w:color w:val="C9A84C"/>
                <w:sz w:val="22"/>
                <w:szCs w:val="22"/>
              </w:rPr>
              <w:t xml:space="preserve">08</w:t>
            </w:r>
          </w:p>
        </w:tc>
        <w:tc>
          <w:tcPr>
            <w:tcW w:type="dxa" w:w="6080"/>
            <w:tcBorders>
              <w:top w:val="single" w:color="D6D9DE" w:sz="4"/>
              <w:left w:val="single" w:color="D6D9DE" w:sz="4"/>
              <w:bottom w:val="single" w:color="D6D9DE" w:sz="4"/>
              <w:right w:val="single" w:color="D6D9DE" w:sz="4"/>
            </w:tcBorders>
            <w:shd w:fill="F4F1E8" w:val="clear"/>
            <w:tcMar>
              <w:top w:type="dxa" w:w="100"/>
              <w:left w:type="dxa" w:w="80"/>
              <w:bottom w:type="dxa" w:w="100"/>
              <w:right w:type="dxa" w:w="160"/>
            </w:tcMar>
            <w:vAlign w:val="top"/>
          </w:tcPr>
          <w:p>
            <w:pPr>
              <w:spacing w:after="30" w:before="60"/>
            </w:pPr>
            <w:r>
              <w:rPr>
                <w:rFonts w:ascii="Arial" w:cs="Arial" w:eastAsia="Arial" w:hAnsi="Arial"/>
                <w:b/>
                <w:bCs/>
                <w:color w:val="0A1628"/>
                <w:sz w:val="20"/>
                <w:szCs w:val="20"/>
              </w:rPr>
              <w:t xml:space="preserve">Education &amp; EdTech</w:t>
            </w:r>
          </w:p>
          <w:p>
            <w:pPr>
              <w:spacing w:after="0" w:before="0" w:line="300"/>
              <w:jc w:val="left"/>
            </w:pPr>
            <w:r>
              <w:rPr>
                <w:rFonts w:ascii="Arial" w:cs="Arial" w:eastAsia="Arial" w:hAnsi="Arial"/>
                <w:color w:val="3B4A63"/>
                <w:sz w:val="15"/>
                <w:szCs w:val="15"/>
              </w:rPr>
              <w:t xml:space="preserve">Student information systems, learning experience platforms, identity-aware exam infrastructure, child-data privacy programmes.</w:t>
            </w:r>
          </w:p>
        </w:tc>
        <w:tc>
          <w:tcPr>
            <w:tcW w:type="dxa" w:w="3200"/>
            <w:tcBorders>
              <w:top w:val="single" w:color="D6D9DE" w:sz="4"/>
              <w:left w:val="single" w:color="D6D9DE" w:sz="4"/>
              <w:bottom w:val="single" w:color="D6D9DE" w:sz="4"/>
              <w:right w:val="single" w:color="D6D9DE" w:sz="4"/>
            </w:tcBorders>
            <w:shd w:fill="F4F1E8" w:val="clear"/>
            <w:tcMar>
              <w:top w:type="dxa" w:w="100"/>
              <w:left w:type="dxa" w:w="160"/>
              <w:bottom w:type="dxa" w:w="100"/>
              <w:right w:type="dxa" w:w="160"/>
            </w:tcMar>
            <w:vAlign w:val="top"/>
          </w:tcPr>
          <w:p>
            <w:pPr>
              <w:spacing w:after="0" w:before="0" w:line="300"/>
              <w:jc w:val="left"/>
            </w:pPr>
            <w:r>
              <w:rPr>
                <w:rFonts w:ascii="Arial" w:cs="Arial" w:eastAsia="Arial" w:hAnsi="Arial"/>
                <w:b/>
                <w:bCs/>
                <w:color w:val="003B8E"/>
                <w:spacing w:val="20"/>
                <w:sz w:val="13"/>
                <w:szCs w:val="13"/>
              </w:rPr>
              <w:t xml:space="preserve">UAE CDS · MoE KSA · UGC · DPDP MINORS</w:t>
            </w:r>
          </w:p>
        </w:tc>
      </w:tr>
    </w:tbl>
    <w:p>
      <w:pPr>
        <w:spacing w:after="40" w:before="0"/>
      </w:pPr>
      <w:r>
        <w:rPr>
          <w:rFonts w:ascii="Arial" w:cs="Arial" w:eastAsia="Arial" w:hAnsi="Arial"/>
          <w:b/>
          <w:bCs/>
          <w:color w:val="C9A84C"/>
          <w:spacing w:val="30"/>
          <w:sz w:val="16"/>
          <w:szCs w:val="16"/>
        </w:rPr>
        <w:t xml:space="preserve">/ 07</w:t>
      </w:r>
    </w:p>
    <w:p>
      <w:pPr>
        <w:pStyle w:val="Heading1"/>
        <w:pageBreakBefore/>
        <w:spacing w:after="240" w:before="480"/>
      </w:pPr>
      <w:r>
        <w:rPr>
          <w:rFonts w:ascii="Arial" w:cs="Arial" w:eastAsia="Arial" w:hAnsi="Arial"/>
          <w:b/>
          <w:bCs/>
          <w:color w:val="0A1628"/>
          <w:sz w:val="36"/>
          <w:szCs w:val="36"/>
        </w:rPr>
        <w:t xml:space="preserve">Geographic Presence</w:t>
      </w:r>
    </w:p>
    <w:p>
      <w:pPr>
        <w:pBdr>
          <w:bottom w:val="single" w:color="C9A84C" w:sz="8" w:space="1"/>
        </w:pBdr>
        <w:spacing w:after="120" w:before="120"/>
      </w:pPr>
      <w:r>
        <w:t xml:space="preserve"/>
      </w:r>
    </w:p>
    <w:p>
      <w:pPr>
        <w:spacing w:after="240" w:before="80" w:line="300"/>
        <w:jc w:val="left"/>
      </w:pPr>
      <w:r>
        <w:rPr>
          <w:rFonts w:ascii="Arial" w:cs="Arial" w:eastAsia="Arial" w:hAnsi="Arial"/>
          <w:color w:val="0A1628"/>
          <w:sz w:val="22"/>
          <w:szCs w:val="22"/>
        </w:rPr>
        <w:t xml:space="preserve">Three offices anchor our delivery footprint across the regions we serve. Each is staffed with locally-credentialed practitioners and operates within the legal, language, and regulatory context of its jurisdiction.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360"/>
        <w:gridCol w:w="3360"/>
        <w:gridCol w:w="3360"/>
      </w:tblGrid>
      <w:tr>
        <w:tc>
          <w:tcPr>
            <w:tcW w:type="dxa" w:w="3360"/>
            <w:tcBorders>
              <w:top w:val="single" w:color="D6D9DE" w:sz="4"/>
              <w:left w:val="single" w:color="D6D9DE" w:sz="4"/>
              <w:bottom w:val="single" w:color="D6D9DE" w:sz="4"/>
              <w:right w:val="single" w:color="D6D9DE" w:sz="4"/>
            </w:tcBorders>
            <w:shd w:fill="F4F1E8" w:val="clear"/>
            <w:tcMar>
              <w:top w:type="dxa" w:w="200"/>
              <w:left w:type="dxa" w:w="200"/>
              <w:bottom w:type="dxa" w:w="200"/>
              <w:right w:type="dxa" w:w="200"/>
            </w:tcMar>
            <w:vAlign w:val="top"/>
          </w:tcPr>
          <w:p>
            <w:pPr>
              <w:spacing w:after="60" w:before="0"/>
            </w:pPr>
            <w:r>
              <w:rPr>
                <w:rFonts w:ascii="Arial" w:cs="Arial" w:eastAsia="Arial" w:hAnsi="Arial"/>
                <w:b/>
                <w:bCs/>
                <w:color w:val="C9A84C"/>
                <w:spacing w:val="25"/>
                <w:sz w:val="14"/>
                <w:szCs w:val="14"/>
              </w:rPr>
              <w:t xml:space="preserve">HEADQUARTERS</w:t>
            </w:r>
          </w:p>
          <w:p>
            <w:pPr>
              <w:spacing w:after="60" w:before="120"/>
            </w:pPr>
            <w:r>
              <w:rPr>
                <w:rFonts w:ascii="Arial" w:cs="Arial" w:eastAsia="Arial" w:hAnsi="Arial"/>
                <w:b/>
                <w:bCs/>
                <w:color w:val="0A1628"/>
                <w:sz w:val="20"/>
                <w:szCs w:val="20"/>
              </w:rPr>
              <w:t xml:space="preserve">Riyadh — KSA</w:t>
            </w:r>
          </w:p>
          <w:p>
            <w:pPr>
              <w:spacing w:after="30" w:before="0" w:line="300"/>
              <w:jc w:val="left"/>
            </w:pPr>
            <w:r>
              <w:rPr>
                <w:rFonts w:ascii="Arial" w:cs="Arial" w:eastAsia="Arial" w:hAnsi="Arial"/>
                <w:color w:val="3B4A63"/>
                <w:sz w:val="17"/>
                <w:szCs w:val="17"/>
              </w:rPr>
              <w:t xml:space="preserve">King Fahd Road, Olaya District</w:t>
            </w:r>
          </w:p>
          <w:p>
            <w:pPr>
              <w:spacing w:after="100" w:before="0" w:line="300"/>
              <w:jc w:val="left"/>
            </w:pPr>
            <w:r>
              <w:rPr>
                <w:rFonts w:ascii="Arial" w:cs="Arial" w:eastAsia="Arial" w:hAnsi="Arial"/>
                <w:color w:val="3B4A63"/>
                <w:sz w:val="17"/>
                <w:szCs w:val="17"/>
              </w:rPr>
              <w:t xml:space="preserve">Riyadh 11564, Saudi Arabia</w:t>
            </w:r>
          </w:p>
          <w:p>
            <w:pPr>
              <w:spacing w:after="60" w:before="0"/>
            </w:pPr>
            <w:r>
              <w:rPr>
                <w:rFonts w:ascii="Arial" w:cs="Arial" w:eastAsia="Arial" w:hAnsi="Arial"/>
                <w:b/>
                <w:bCs/>
                <w:color w:val="003B8E"/>
                <w:spacing w:val="25"/>
                <w:sz w:val="14"/>
                <w:szCs w:val="14"/>
              </w:rPr>
              <w:t xml:space="preserve">HOURS</w:t>
            </w:r>
          </w:p>
          <w:p>
            <w:pPr>
              <w:spacing w:after="100" w:before="0" w:line="300"/>
              <w:jc w:val="left"/>
            </w:pPr>
            <w:r>
              <w:rPr>
                <w:rFonts w:ascii="Arial" w:cs="Arial" w:eastAsia="Arial" w:hAnsi="Arial"/>
                <w:color w:val="3B4A63"/>
                <w:sz w:val="15"/>
                <w:szCs w:val="15"/>
              </w:rPr>
              <w:t xml:space="preserve">Sun – Thu  ·  09:00 – 18:00 AST</w:t>
            </w:r>
          </w:p>
          <w:p>
            <w:pPr>
              <w:spacing w:after="60" w:before="0"/>
            </w:pPr>
            <w:r>
              <w:rPr>
                <w:rFonts w:ascii="Arial" w:cs="Arial" w:eastAsia="Arial" w:hAnsi="Arial"/>
                <w:b/>
                <w:bCs/>
                <w:color w:val="003B8E"/>
                <w:spacing w:val="25"/>
                <w:sz w:val="14"/>
                <w:szCs w:val="14"/>
              </w:rPr>
              <w:t xml:space="preserve">LANGUAGES</w:t>
            </w:r>
          </w:p>
          <w:p>
            <w:pPr>
              <w:spacing w:after="100" w:before="0" w:line="300"/>
              <w:jc w:val="left"/>
            </w:pPr>
            <w:r>
              <w:rPr>
                <w:rFonts w:ascii="Arial" w:cs="Arial" w:eastAsia="Arial" w:hAnsi="Arial"/>
                <w:color w:val="3B4A63"/>
                <w:sz w:val="15"/>
                <w:szCs w:val="15"/>
              </w:rPr>
              <w:t xml:space="preserve">English  ·  Arabic</w:t>
            </w:r>
          </w:p>
          <w:p>
            <w:pPr>
              <w:spacing w:after="60" w:before="0"/>
            </w:pPr>
            <w:r>
              <w:rPr>
                <w:rFonts w:ascii="Arial" w:cs="Arial" w:eastAsia="Arial" w:hAnsi="Arial"/>
                <w:b/>
                <w:bCs/>
                <w:color w:val="003B8E"/>
                <w:spacing w:val="25"/>
                <w:sz w:val="14"/>
                <w:szCs w:val="14"/>
              </w:rPr>
              <w:t xml:space="preserve">PRIMARY COVERAGE</w:t>
            </w:r>
          </w:p>
          <w:p>
            <w:pPr>
              <w:pStyle w:val="ListParagraph"/>
              <w:numPr>
                <w:ilvl w:val="0"/>
                <w:numId w:val="2"/>
              </w:numPr>
              <w:spacing w:after="60" w:before="30" w:line="280"/>
            </w:pPr>
            <w:r>
              <w:rPr>
                <w:rFonts w:ascii="Arial" w:cs="Arial" w:eastAsia="Arial" w:hAnsi="Arial"/>
                <w:color w:val="3B4A63"/>
                <w:sz w:val="14"/>
                <w:szCs w:val="14"/>
              </w:rPr>
              <w:t xml:space="preserve">Saudi Arabia — all jurisdictions</w:t>
            </w:r>
          </w:p>
          <w:p>
            <w:pPr>
              <w:pStyle w:val="ListParagraph"/>
              <w:numPr>
                <w:ilvl w:val="0"/>
                <w:numId w:val="2"/>
              </w:numPr>
              <w:spacing w:after="60" w:before="30" w:line="280"/>
            </w:pPr>
            <w:r>
              <w:rPr>
                <w:rFonts w:ascii="Arial" w:cs="Arial" w:eastAsia="Arial" w:hAnsi="Arial"/>
                <w:color w:val="3B4A63"/>
                <w:sz w:val="14"/>
                <w:szCs w:val="14"/>
              </w:rPr>
              <w:t xml:space="preserve">Bahrain, Kuwait, Oman, Qatar</w:t>
            </w:r>
          </w:p>
          <w:p>
            <w:pPr>
              <w:pStyle w:val="ListParagraph"/>
              <w:numPr>
                <w:ilvl w:val="0"/>
                <w:numId w:val="2"/>
              </w:numPr>
              <w:spacing w:after="60" w:before="30" w:line="280"/>
            </w:pPr>
            <w:r>
              <w:rPr>
                <w:rFonts w:ascii="Arial" w:cs="Arial" w:eastAsia="Arial" w:hAnsi="Arial"/>
                <w:color w:val="3B4A63"/>
                <w:sz w:val="14"/>
                <w:szCs w:val="14"/>
              </w:rPr>
              <w:t xml:space="preserve">SAMA, NCA, SDAIA, ZATCA</w:t>
            </w:r>
          </w:p>
          <w:p>
            <w:pPr>
              <w:pStyle w:val="ListParagraph"/>
              <w:numPr>
                <w:ilvl w:val="0"/>
                <w:numId w:val="2"/>
              </w:numPr>
              <w:spacing w:after="60" w:before="30" w:line="280"/>
            </w:pPr>
            <w:r>
              <w:rPr>
                <w:rFonts w:ascii="Arial" w:cs="Arial" w:eastAsia="Arial" w:hAnsi="Arial"/>
                <w:color w:val="3B4A63"/>
                <w:sz w:val="14"/>
                <w:szCs w:val="14"/>
              </w:rPr>
              <w:t xml:space="preserve">Vision 2030 programmes</w:t>
            </w:r>
          </w:p>
          <w:p>
            <w:pPr>
              <w:spacing w:after="60" w:before="0"/>
            </w:pPr>
            <w:r>
              <w:rPr>
                <w:rFonts w:ascii="Arial" w:cs="Arial" w:eastAsia="Arial" w:hAnsi="Arial"/>
                <w:b/>
                <w:bCs/>
                <w:color w:val="003B8E"/>
                <w:spacing w:val="25"/>
                <w:sz w:val="14"/>
                <w:szCs w:val="14"/>
              </w:rPr>
              <w:t xml:space="preserve">PHONE</w:t>
            </w:r>
          </w:p>
          <w:p>
            <w:pPr>
              <w:spacing w:after="120" w:before="0" w:line="300"/>
              <w:jc w:val="left"/>
            </w:pPr>
            <w:r>
              <w:rPr>
                <w:rFonts w:ascii="Arial" w:cs="Arial" w:eastAsia="Arial" w:hAnsi="Arial"/>
                <w:b/>
                <w:bCs/>
                <w:color w:val="0A1628"/>
                <w:sz w:val="16"/>
                <w:szCs w:val="16"/>
              </w:rPr>
              <w:t xml:space="preserve">+966 11 234 5678</w:t>
            </w:r>
          </w:p>
        </w:tc>
        <w:tc>
          <w:tcPr>
            <w:tcW w:type="dxa" w:w="3360"/>
            <w:tcBorders>
              <w:top w:val="single" w:color="D6D9DE" w:sz="4"/>
              <w:left w:val="single" w:color="D6D9DE" w:sz="4"/>
              <w:bottom w:val="single" w:color="D6D9DE" w:sz="4"/>
              <w:right w:val="single" w:color="D6D9DE" w:sz="4"/>
            </w:tcBorders>
            <w:shd w:fill="F4F1E8" w:val="clear"/>
            <w:tcMar>
              <w:top w:type="dxa" w:w="200"/>
              <w:left w:type="dxa" w:w="200"/>
              <w:bottom w:type="dxa" w:w="200"/>
              <w:right w:type="dxa" w:w="200"/>
            </w:tcMar>
            <w:vAlign w:val="top"/>
          </w:tcPr>
          <w:p>
            <w:pPr>
              <w:spacing w:after="60" w:before="0"/>
            </w:pPr>
            <w:r>
              <w:rPr>
                <w:rFonts w:ascii="Arial" w:cs="Arial" w:eastAsia="Arial" w:hAnsi="Arial"/>
                <w:b/>
                <w:bCs/>
                <w:color w:val="C9A84C"/>
                <w:spacing w:val="25"/>
                <w:sz w:val="14"/>
                <w:szCs w:val="14"/>
              </w:rPr>
              <w:t xml:space="preserve">REGIONAL OFFICE</w:t>
            </w:r>
          </w:p>
          <w:p>
            <w:pPr>
              <w:spacing w:after="60" w:before="120"/>
            </w:pPr>
            <w:r>
              <w:rPr>
                <w:rFonts w:ascii="Arial" w:cs="Arial" w:eastAsia="Arial" w:hAnsi="Arial"/>
                <w:b/>
                <w:bCs/>
                <w:color w:val="0A1628"/>
                <w:sz w:val="20"/>
                <w:szCs w:val="20"/>
              </w:rPr>
              <w:t xml:space="preserve">Dubai — UAE</w:t>
            </w:r>
          </w:p>
          <w:p>
            <w:pPr>
              <w:spacing w:after="30" w:before="0" w:line="300"/>
              <w:jc w:val="left"/>
            </w:pPr>
            <w:r>
              <w:rPr>
                <w:rFonts w:ascii="Arial" w:cs="Arial" w:eastAsia="Arial" w:hAnsi="Arial"/>
                <w:color w:val="3B4A63"/>
                <w:sz w:val="17"/>
                <w:szCs w:val="17"/>
              </w:rPr>
              <w:t xml:space="preserve">Dubai International Financial Centre</w:t>
            </w:r>
          </w:p>
          <w:p>
            <w:pPr>
              <w:spacing w:after="100" w:before="0" w:line="300"/>
              <w:jc w:val="left"/>
            </w:pPr>
            <w:r>
              <w:rPr>
                <w:rFonts w:ascii="Arial" w:cs="Arial" w:eastAsia="Arial" w:hAnsi="Arial"/>
                <w:color w:val="3B4A63"/>
                <w:sz w:val="17"/>
                <w:szCs w:val="17"/>
              </w:rPr>
              <w:t xml:space="preserve">Dubai, United Arab Emirates</w:t>
            </w:r>
          </w:p>
          <w:p>
            <w:pPr>
              <w:spacing w:after="60" w:before="0"/>
            </w:pPr>
            <w:r>
              <w:rPr>
                <w:rFonts w:ascii="Arial" w:cs="Arial" w:eastAsia="Arial" w:hAnsi="Arial"/>
                <w:b/>
                <w:bCs/>
                <w:color w:val="003B8E"/>
                <w:spacing w:val="25"/>
                <w:sz w:val="14"/>
                <w:szCs w:val="14"/>
              </w:rPr>
              <w:t xml:space="preserve">HOURS</w:t>
            </w:r>
          </w:p>
          <w:p>
            <w:pPr>
              <w:spacing w:after="100" w:before="0" w:line="300"/>
              <w:jc w:val="left"/>
            </w:pPr>
            <w:r>
              <w:rPr>
                <w:rFonts w:ascii="Arial" w:cs="Arial" w:eastAsia="Arial" w:hAnsi="Arial"/>
                <w:color w:val="3B4A63"/>
                <w:sz w:val="15"/>
                <w:szCs w:val="15"/>
              </w:rPr>
              <w:t xml:space="preserve">Mon – Fri  ·  09:00 – 18:00 GST</w:t>
            </w:r>
          </w:p>
          <w:p>
            <w:pPr>
              <w:spacing w:after="60" w:before="0"/>
            </w:pPr>
            <w:r>
              <w:rPr>
                <w:rFonts w:ascii="Arial" w:cs="Arial" w:eastAsia="Arial" w:hAnsi="Arial"/>
                <w:b/>
                <w:bCs/>
                <w:color w:val="003B8E"/>
                <w:spacing w:val="25"/>
                <w:sz w:val="14"/>
                <w:szCs w:val="14"/>
              </w:rPr>
              <w:t xml:space="preserve">LANGUAGES</w:t>
            </w:r>
          </w:p>
          <w:p>
            <w:pPr>
              <w:spacing w:after="100" w:before="0" w:line="300"/>
              <w:jc w:val="left"/>
            </w:pPr>
            <w:r>
              <w:rPr>
                <w:rFonts w:ascii="Arial" w:cs="Arial" w:eastAsia="Arial" w:hAnsi="Arial"/>
                <w:color w:val="3B4A63"/>
                <w:sz w:val="15"/>
                <w:szCs w:val="15"/>
              </w:rPr>
              <w:t xml:space="preserve">English  ·  Arabic  ·  Hindi</w:t>
            </w:r>
          </w:p>
          <w:p>
            <w:pPr>
              <w:spacing w:after="60" w:before="0"/>
            </w:pPr>
            <w:r>
              <w:rPr>
                <w:rFonts w:ascii="Arial" w:cs="Arial" w:eastAsia="Arial" w:hAnsi="Arial"/>
                <w:b/>
                <w:bCs/>
                <w:color w:val="003B8E"/>
                <w:spacing w:val="25"/>
                <w:sz w:val="14"/>
                <w:szCs w:val="14"/>
              </w:rPr>
              <w:t xml:space="preserve">PRIMARY COVERAGE</w:t>
            </w:r>
          </w:p>
          <w:p>
            <w:pPr>
              <w:pStyle w:val="ListParagraph"/>
              <w:numPr>
                <w:ilvl w:val="0"/>
                <w:numId w:val="2"/>
              </w:numPr>
              <w:spacing w:after="60" w:before="30" w:line="280"/>
            </w:pPr>
            <w:r>
              <w:rPr>
                <w:rFonts w:ascii="Arial" w:cs="Arial" w:eastAsia="Arial" w:hAnsi="Arial"/>
                <w:color w:val="3B4A63"/>
                <w:sz w:val="14"/>
                <w:szCs w:val="14"/>
              </w:rPr>
              <w:t xml:space="preserve">United Arab Emirates — all Emirates</w:t>
            </w:r>
          </w:p>
          <w:p>
            <w:pPr>
              <w:pStyle w:val="ListParagraph"/>
              <w:numPr>
                <w:ilvl w:val="0"/>
                <w:numId w:val="2"/>
              </w:numPr>
              <w:spacing w:after="60" w:before="30" w:line="280"/>
            </w:pPr>
            <w:r>
              <w:rPr>
                <w:rFonts w:ascii="Arial" w:cs="Arial" w:eastAsia="Arial" w:hAnsi="Arial"/>
                <w:color w:val="3B4A63"/>
                <w:sz w:val="14"/>
                <w:szCs w:val="14"/>
              </w:rPr>
              <w:t xml:space="preserve">UAE Federal Decree-Law 45/2021</w:t>
            </w:r>
          </w:p>
          <w:p>
            <w:pPr>
              <w:pStyle w:val="ListParagraph"/>
              <w:numPr>
                <w:ilvl w:val="0"/>
                <w:numId w:val="2"/>
              </w:numPr>
              <w:spacing w:after="60" w:before="30" w:line="280"/>
            </w:pPr>
            <w:r>
              <w:rPr>
                <w:rFonts w:ascii="Arial" w:cs="Arial" w:eastAsia="Arial" w:hAnsi="Arial"/>
                <w:color w:val="3B4A63"/>
                <w:sz w:val="14"/>
                <w:szCs w:val="14"/>
              </w:rPr>
              <w:t xml:space="preserve">Child Digital Safety Law 51/2024</w:t>
            </w:r>
          </w:p>
          <w:p>
            <w:pPr>
              <w:pStyle w:val="ListParagraph"/>
              <w:numPr>
                <w:ilvl w:val="0"/>
                <w:numId w:val="2"/>
              </w:numPr>
              <w:spacing w:after="60" w:before="30" w:line="280"/>
            </w:pPr>
            <w:r>
              <w:rPr>
                <w:rFonts w:ascii="Arial" w:cs="Arial" w:eastAsia="Arial" w:hAnsi="Arial"/>
                <w:color w:val="3B4A63"/>
                <w:sz w:val="14"/>
                <w:szCs w:val="14"/>
              </w:rPr>
              <w:t xml:space="preserve">DIFC and ADGM engagements</w:t>
            </w:r>
          </w:p>
          <w:p>
            <w:pPr>
              <w:spacing w:after="60" w:before="0"/>
            </w:pPr>
            <w:r>
              <w:rPr>
                <w:rFonts w:ascii="Arial" w:cs="Arial" w:eastAsia="Arial" w:hAnsi="Arial"/>
                <w:b/>
                <w:bCs/>
                <w:color w:val="003B8E"/>
                <w:spacing w:val="25"/>
                <w:sz w:val="14"/>
                <w:szCs w:val="14"/>
              </w:rPr>
              <w:t xml:space="preserve">PHONE</w:t>
            </w:r>
          </w:p>
          <w:p>
            <w:pPr>
              <w:spacing w:after="120" w:before="0" w:line="300"/>
              <w:jc w:val="left"/>
            </w:pPr>
            <w:r>
              <w:rPr>
                <w:rFonts w:ascii="Arial" w:cs="Arial" w:eastAsia="Arial" w:hAnsi="Arial"/>
                <w:b/>
                <w:bCs/>
                <w:color w:val="0A1628"/>
                <w:sz w:val="16"/>
                <w:szCs w:val="16"/>
              </w:rPr>
              <w:t xml:space="preserve">+971 4 234 5678</w:t>
            </w:r>
          </w:p>
        </w:tc>
        <w:tc>
          <w:tcPr>
            <w:tcW w:type="dxa" w:w="3360"/>
            <w:tcBorders>
              <w:top w:val="single" w:color="D6D9DE" w:sz="4"/>
              <w:left w:val="single" w:color="D6D9DE" w:sz="4"/>
              <w:bottom w:val="single" w:color="D6D9DE" w:sz="4"/>
              <w:right w:val="single" w:color="D6D9DE" w:sz="4"/>
            </w:tcBorders>
            <w:shd w:fill="F4F1E8" w:val="clear"/>
            <w:tcMar>
              <w:top w:type="dxa" w:w="200"/>
              <w:left w:type="dxa" w:w="200"/>
              <w:bottom w:type="dxa" w:w="200"/>
              <w:right w:type="dxa" w:w="200"/>
            </w:tcMar>
            <w:vAlign w:val="top"/>
          </w:tcPr>
          <w:p>
            <w:pPr>
              <w:spacing w:after="60" w:before="0"/>
            </w:pPr>
            <w:r>
              <w:rPr>
                <w:rFonts w:ascii="Arial" w:cs="Arial" w:eastAsia="Arial" w:hAnsi="Arial"/>
                <w:b/>
                <w:bCs/>
                <w:color w:val="C9A84C"/>
                <w:spacing w:val="25"/>
                <w:sz w:val="14"/>
                <w:szCs w:val="14"/>
              </w:rPr>
              <w:t xml:space="preserve">REGIONAL OFFICE</w:t>
            </w:r>
          </w:p>
          <w:p>
            <w:pPr>
              <w:spacing w:after="60" w:before="120"/>
            </w:pPr>
            <w:r>
              <w:rPr>
                <w:rFonts w:ascii="Arial" w:cs="Arial" w:eastAsia="Arial" w:hAnsi="Arial"/>
                <w:b/>
                <w:bCs/>
                <w:color w:val="0A1628"/>
                <w:sz w:val="20"/>
                <w:szCs w:val="20"/>
              </w:rPr>
              <w:t xml:space="preserve">Mumbai — India</w:t>
            </w:r>
          </w:p>
          <w:p>
            <w:pPr>
              <w:spacing w:after="30" w:before="0" w:line="300"/>
              <w:jc w:val="left"/>
            </w:pPr>
            <w:r>
              <w:rPr>
                <w:rFonts w:ascii="Arial" w:cs="Arial" w:eastAsia="Arial" w:hAnsi="Arial"/>
                <w:color w:val="3B4A63"/>
                <w:sz w:val="17"/>
                <w:szCs w:val="17"/>
              </w:rPr>
              <w:t xml:space="preserve">Bandra Kurla Complex (BKC)</w:t>
            </w:r>
          </w:p>
          <w:p>
            <w:pPr>
              <w:spacing w:after="100" w:before="0" w:line="300"/>
              <w:jc w:val="left"/>
            </w:pPr>
            <w:r>
              <w:rPr>
                <w:rFonts w:ascii="Arial" w:cs="Arial" w:eastAsia="Arial" w:hAnsi="Arial"/>
                <w:color w:val="3B4A63"/>
                <w:sz w:val="17"/>
                <w:szCs w:val="17"/>
              </w:rPr>
              <w:t xml:space="preserve">Mumbai 400051, Maharashtra, India</w:t>
            </w:r>
          </w:p>
          <w:p>
            <w:pPr>
              <w:spacing w:after="60" w:before="0"/>
            </w:pPr>
            <w:r>
              <w:rPr>
                <w:rFonts w:ascii="Arial" w:cs="Arial" w:eastAsia="Arial" w:hAnsi="Arial"/>
                <w:b/>
                <w:bCs/>
                <w:color w:val="003B8E"/>
                <w:spacing w:val="25"/>
                <w:sz w:val="14"/>
                <w:szCs w:val="14"/>
              </w:rPr>
              <w:t xml:space="preserve">HOURS</w:t>
            </w:r>
          </w:p>
          <w:p>
            <w:pPr>
              <w:spacing w:after="100" w:before="0" w:line="300"/>
              <w:jc w:val="left"/>
            </w:pPr>
            <w:r>
              <w:rPr>
                <w:rFonts w:ascii="Arial" w:cs="Arial" w:eastAsia="Arial" w:hAnsi="Arial"/>
                <w:color w:val="3B4A63"/>
                <w:sz w:val="15"/>
                <w:szCs w:val="15"/>
              </w:rPr>
              <w:t xml:space="preserve">Mon – Fri  ·  10:00 – 19:00 IST</w:t>
            </w:r>
          </w:p>
          <w:p>
            <w:pPr>
              <w:spacing w:after="60" w:before="0"/>
            </w:pPr>
            <w:r>
              <w:rPr>
                <w:rFonts w:ascii="Arial" w:cs="Arial" w:eastAsia="Arial" w:hAnsi="Arial"/>
                <w:b/>
                <w:bCs/>
                <w:color w:val="003B8E"/>
                <w:spacing w:val="25"/>
                <w:sz w:val="14"/>
                <w:szCs w:val="14"/>
              </w:rPr>
              <w:t xml:space="preserve">LANGUAGES</w:t>
            </w:r>
          </w:p>
          <w:p>
            <w:pPr>
              <w:spacing w:after="100" w:before="0" w:line="300"/>
              <w:jc w:val="left"/>
            </w:pPr>
            <w:r>
              <w:rPr>
                <w:rFonts w:ascii="Arial" w:cs="Arial" w:eastAsia="Arial" w:hAnsi="Arial"/>
                <w:color w:val="3B4A63"/>
                <w:sz w:val="15"/>
                <w:szCs w:val="15"/>
              </w:rPr>
              <w:t xml:space="preserve">English  ·  Hindi  ·  Marathi</w:t>
            </w:r>
          </w:p>
          <w:p>
            <w:pPr>
              <w:spacing w:after="60" w:before="0"/>
            </w:pPr>
            <w:r>
              <w:rPr>
                <w:rFonts w:ascii="Arial" w:cs="Arial" w:eastAsia="Arial" w:hAnsi="Arial"/>
                <w:b/>
                <w:bCs/>
                <w:color w:val="003B8E"/>
                <w:spacing w:val="25"/>
                <w:sz w:val="14"/>
                <w:szCs w:val="14"/>
              </w:rPr>
              <w:t xml:space="preserve">PRIMARY COVERAGE</w:t>
            </w:r>
          </w:p>
          <w:p>
            <w:pPr>
              <w:pStyle w:val="ListParagraph"/>
              <w:numPr>
                <w:ilvl w:val="0"/>
                <w:numId w:val="2"/>
              </w:numPr>
              <w:spacing w:after="60" w:before="30" w:line="280"/>
            </w:pPr>
            <w:r>
              <w:rPr>
                <w:rFonts w:ascii="Arial" w:cs="Arial" w:eastAsia="Arial" w:hAnsi="Arial"/>
                <w:color w:val="3B4A63"/>
                <w:sz w:val="14"/>
                <w:szCs w:val="14"/>
              </w:rPr>
              <w:t xml:space="preserve">India — pan-national delivery</w:t>
            </w:r>
          </w:p>
          <w:p>
            <w:pPr>
              <w:pStyle w:val="ListParagraph"/>
              <w:numPr>
                <w:ilvl w:val="0"/>
                <w:numId w:val="2"/>
              </w:numPr>
              <w:spacing w:after="60" w:before="30" w:line="280"/>
            </w:pPr>
            <w:r>
              <w:rPr>
                <w:rFonts w:ascii="Arial" w:cs="Arial" w:eastAsia="Arial" w:hAnsi="Arial"/>
                <w:color w:val="3B4A63"/>
                <w:sz w:val="14"/>
                <w:szCs w:val="14"/>
              </w:rPr>
              <w:t xml:space="preserve">DPDP Act 2023 implementation</w:t>
            </w:r>
          </w:p>
          <w:p>
            <w:pPr>
              <w:pStyle w:val="ListParagraph"/>
              <w:numPr>
                <w:ilvl w:val="0"/>
                <w:numId w:val="2"/>
              </w:numPr>
              <w:spacing w:after="60" w:before="30" w:line="280"/>
            </w:pPr>
            <w:r>
              <w:rPr>
                <w:rFonts w:ascii="Arial" w:cs="Arial" w:eastAsia="Arial" w:hAnsi="Arial"/>
                <w:color w:val="3B4A63"/>
                <w:sz w:val="14"/>
                <w:szCs w:val="14"/>
              </w:rPr>
              <w:t xml:space="preserve">RBI, SEBI, IRDAI engagements</w:t>
            </w:r>
          </w:p>
          <w:p>
            <w:pPr>
              <w:pStyle w:val="ListParagraph"/>
              <w:numPr>
                <w:ilvl w:val="0"/>
                <w:numId w:val="2"/>
              </w:numPr>
              <w:spacing w:after="60" w:before="30" w:line="280"/>
            </w:pPr>
            <w:r>
              <w:rPr>
                <w:rFonts w:ascii="Arial" w:cs="Arial" w:eastAsia="Arial" w:hAnsi="Arial"/>
                <w:color w:val="3B4A63"/>
                <w:sz w:val="14"/>
                <w:szCs w:val="14"/>
              </w:rPr>
              <w:t xml:space="preserve">GeM portal and govt tendering</w:t>
            </w:r>
          </w:p>
          <w:p>
            <w:pPr>
              <w:spacing w:after="60" w:before="0"/>
            </w:pPr>
            <w:r>
              <w:rPr>
                <w:rFonts w:ascii="Arial" w:cs="Arial" w:eastAsia="Arial" w:hAnsi="Arial"/>
                <w:b/>
                <w:bCs/>
                <w:color w:val="003B8E"/>
                <w:spacing w:val="25"/>
                <w:sz w:val="14"/>
                <w:szCs w:val="14"/>
              </w:rPr>
              <w:t xml:space="preserve">PHONE</w:t>
            </w:r>
          </w:p>
          <w:p>
            <w:pPr>
              <w:spacing w:after="120" w:before="0" w:line="300"/>
              <w:jc w:val="left"/>
            </w:pPr>
            <w:r>
              <w:rPr>
                <w:rFonts w:ascii="Arial" w:cs="Arial" w:eastAsia="Arial" w:hAnsi="Arial"/>
                <w:b/>
                <w:bCs/>
                <w:color w:val="0A1628"/>
                <w:sz w:val="16"/>
                <w:szCs w:val="16"/>
              </w:rPr>
              <w:t xml:space="preserve">+91 22 1234 5678</w:t>
            </w:r>
          </w:p>
        </w:tc>
      </w:tr>
    </w:tbl>
    <w:p>
      <w:pPr>
        <w:spacing w:after="40" w:before="0"/>
      </w:pPr>
      <w:r>
        <w:rPr>
          <w:rFonts w:ascii="Arial" w:cs="Arial" w:eastAsia="Arial" w:hAnsi="Arial"/>
          <w:b/>
          <w:bCs/>
          <w:color w:val="C9A84C"/>
          <w:spacing w:val="30"/>
          <w:sz w:val="16"/>
          <w:szCs w:val="16"/>
        </w:rPr>
        <w:t xml:space="preserve">/ 08</w:t>
      </w:r>
    </w:p>
    <w:p>
      <w:pPr>
        <w:pStyle w:val="Heading1"/>
        <w:pageBreakBefore/>
        <w:spacing w:after="240" w:before="480"/>
      </w:pPr>
      <w:r>
        <w:rPr>
          <w:rFonts w:ascii="Arial" w:cs="Arial" w:eastAsia="Arial" w:hAnsi="Arial"/>
          <w:b/>
          <w:bCs/>
          <w:color w:val="0A1628"/>
          <w:sz w:val="36"/>
          <w:szCs w:val="36"/>
        </w:rPr>
        <w:t xml:space="preserve">Engagement Models</w:t>
      </w:r>
    </w:p>
    <w:p>
      <w:pPr>
        <w:pBdr>
          <w:bottom w:val="single" w:color="C9A84C" w:sz="8" w:space="1"/>
        </w:pBdr>
        <w:spacing w:after="120" w:before="120"/>
      </w:pPr>
      <w:r>
        <w:t xml:space="preserve"/>
      </w:r>
    </w:p>
    <w:p>
      <w:pPr>
        <w:spacing w:after="320" w:before="80" w:line="300"/>
        <w:jc w:val="left"/>
      </w:pPr>
      <w:r>
        <w:rPr>
          <w:rFonts w:ascii="Arial" w:cs="Arial" w:eastAsia="Arial" w:hAnsi="Arial"/>
          <w:color w:val="0A1628"/>
          <w:sz w:val="22"/>
          <w:szCs w:val="22"/>
        </w:rPr>
        <w:t xml:space="preserve">Veltrixair offers three standard engagement structures, scoped to the maturity of the client programme. Each is gate-driven, governance-grade, and explicitly designed to give the client off-ramps if the programme is not delivering value.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6D9DE" w:sz="4"/>
              <w:left w:val="single" w:color="D6D9DE" w:sz="4"/>
              <w:bottom w:val="single" w:color="D6D9DE" w:sz="4"/>
              <w:right w:val="single" w:color="D6D9DE" w:sz="4"/>
            </w:tcBorders>
            <w:tcMar>
              <w:top w:type="dxa" w:w="200"/>
              <w:left w:type="dxa" w:w="240"/>
              <w:bottom w:type="dxa" w:w="200"/>
              <w:right w:type="dxa" w:w="240"/>
            </w:tcMar>
            <w:vAlign w:val="top"/>
          </w:tcPr>
          <w:p>
            <w:pPr>
              <w:spacing w:after="40" w:before="80"/>
            </w:pPr>
            <w:r>
              <w:rPr>
                <w:rFonts w:ascii="Arial" w:cs="Arial" w:eastAsia="Arial" w:hAnsi="Arial"/>
                <w:b/>
                <w:bCs/>
                <w:color w:val="C9A84C"/>
                <w:spacing w:val="40"/>
                <w:sz w:val="16"/>
                <w:szCs w:val="16"/>
              </w:rPr>
              <w:t xml:space="preserve">PILOT</w:t>
            </w:r>
          </w:p>
          <w:p>
            <w:pPr>
              <w:spacing w:after="60" w:before="120"/>
            </w:pPr>
            <w:r>
              <w:rPr>
                <w:rFonts w:ascii="Arial" w:cs="Arial" w:eastAsia="Arial" w:hAnsi="Arial"/>
                <w:b/>
                <w:bCs/>
                <w:color w:val="0A1628"/>
                <w:sz w:val="20"/>
                <w:szCs w:val="20"/>
              </w:rPr>
              <w:t xml:space="preserve">Validate before scaling.</w:t>
            </w:r>
          </w:p>
          <w:p>
            <w:pPr>
              <w:spacing w:after="160" w:before="0" w:line="300"/>
              <w:jc w:val="left"/>
            </w:pPr>
            <w:r>
              <w:rPr>
                <w:rFonts w:ascii="Arial" w:cs="Arial" w:eastAsia="Arial" w:hAnsi="Arial"/>
                <w:color w:val="3B4A63"/>
                <w:sz w:val="18"/>
                <w:szCs w:val="18"/>
              </w:rPr>
              <w:t xml:space="preserve">A bounded, time-boxed engagement (typically 4 – 8 weeks) to prove a single use case or technical hypothesis. Scoped narrowly, tracked rigorously, with explicit success criteria defined at the outset and a published outcome at the end.</w:t>
            </w:r>
          </w:p>
          <w:p>
            <w:pPr>
              <w:spacing w:after="60" w:before="0"/>
            </w:pPr>
            <w:r>
              <w:rPr>
                <w:rFonts w:ascii="Arial" w:cs="Arial" w:eastAsia="Arial" w:hAnsi="Arial"/>
                <w:b/>
                <w:bCs/>
                <w:color w:val="003B8E"/>
                <w:spacing w:val="25"/>
                <w:sz w:val="14"/>
                <w:szCs w:val="14"/>
              </w:rPr>
              <w:t xml:space="preserve">TYPICAL OUTPUT</w:t>
            </w:r>
          </w:p>
          <w:p>
            <w:pPr>
              <w:spacing w:after="120" w:before="0" w:line="300"/>
              <w:jc w:val="left"/>
            </w:pPr>
            <w:r>
              <w:rPr>
                <w:rFonts w:ascii="Arial" w:cs="Arial" w:eastAsia="Arial" w:hAnsi="Arial"/>
                <w:color w:val="3B4A63"/>
                <w:sz w:val="16"/>
                <w:szCs w:val="16"/>
              </w:rPr>
              <w:t xml:space="preserve">Production-quality artefact for one named use case, success-criteria report, recommendation on whether to scale.</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6D9DE" w:sz="4"/>
              <w:left w:val="single" w:color="D6D9DE" w:sz="4"/>
              <w:bottom w:val="single" w:color="D6D9DE" w:sz="4"/>
              <w:right w:val="single" w:color="D6D9DE" w:sz="4"/>
            </w:tcBorders>
            <w:shd w:fill="F4F1E8" w:val="clear"/>
            <w:tcMar>
              <w:top w:type="dxa" w:w="200"/>
              <w:left w:type="dxa" w:w="240"/>
              <w:bottom w:type="dxa" w:w="200"/>
              <w:right w:type="dxa" w:w="240"/>
            </w:tcMar>
            <w:vAlign w:val="top"/>
          </w:tcPr>
          <w:p>
            <w:pPr>
              <w:spacing w:after="40" w:before="80"/>
            </w:pPr>
            <w:r>
              <w:rPr>
                <w:rFonts w:ascii="Arial" w:cs="Arial" w:eastAsia="Arial" w:hAnsi="Arial"/>
                <w:b/>
                <w:bCs/>
                <w:color w:val="C9A84C"/>
                <w:spacing w:val="40"/>
                <w:sz w:val="16"/>
                <w:szCs w:val="16"/>
              </w:rPr>
              <w:t xml:space="preserve">PROGRAMME</w:t>
            </w:r>
          </w:p>
          <w:p>
            <w:pPr>
              <w:spacing w:after="60" w:before="120"/>
            </w:pPr>
            <w:r>
              <w:rPr>
                <w:rFonts w:ascii="Arial" w:cs="Arial" w:eastAsia="Arial" w:hAnsi="Arial"/>
                <w:b/>
                <w:bCs/>
                <w:color w:val="0A1628"/>
                <w:sz w:val="20"/>
                <w:szCs w:val="20"/>
              </w:rPr>
              <w:t xml:space="preserve">The standard delivery shape.</w:t>
            </w:r>
          </w:p>
          <w:p>
            <w:pPr>
              <w:spacing w:after="160" w:before="0" w:line="300"/>
              <w:jc w:val="left"/>
            </w:pPr>
            <w:r>
              <w:rPr>
                <w:rFonts w:ascii="Arial" w:cs="Arial" w:eastAsia="Arial" w:hAnsi="Arial"/>
                <w:color w:val="3B4A63"/>
                <w:sz w:val="18"/>
                <w:szCs w:val="18"/>
              </w:rPr>
              <w:t xml:space="preserve">A multi-phase, gate-driven engagement (typically 12 – 36 weeks) running against a structured charter. Each phase ends in a published gate review and a go/no-go decision before the next phase opens. The CEO Override Clause permits the client to pause or terminate at any gate.</w:t>
            </w:r>
          </w:p>
          <w:p>
            <w:pPr>
              <w:spacing w:after="60" w:before="0"/>
            </w:pPr>
            <w:r>
              <w:rPr>
                <w:rFonts w:ascii="Arial" w:cs="Arial" w:eastAsia="Arial" w:hAnsi="Arial"/>
                <w:b/>
                <w:bCs/>
                <w:color w:val="003B8E"/>
                <w:spacing w:val="25"/>
                <w:sz w:val="14"/>
                <w:szCs w:val="14"/>
              </w:rPr>
              <w:t xml:space="preserve">TYPICAL OUTPUT</w:t>
            </w:r>
          </w:p>
          <w:p>
            <w:pPr>
              <w:spacing w:after="120" w:before="0" w:line="300"/>
              <w:jc w:val="left"/>
            </w:pPr>
            <w:r>
              <w:rPr>
                <w:rFonts w:ascii="Arial" w:cs="Arial" w:eastAsia="Arial" w:hAnsi="Arial"/>
                <w:color w:val="3B4A63"/>
                <w:sz w:val="16"/>
                <w:szCs w:val="16"/>
              </w:rPr>
              <w:t xml:space="preserve">Architecture, build, and operational handover with documented governance, gate-review evidence, and continuous-improvement plan.</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6D9DE" w:sz="4"/>
              <w:left w:val="single" w:color="D6D9DE" w:sz="4"/>
              <w:bottom w:val="single" w:color="D6D9DE" w:sz="4"/>
              <w:right w:val="single" w:color="D6D9DE" w:sz="4"/>
            </w:tcBorders>
            <w:tcMar>
              <w:top w:type="dxa" w:w="200"/>
              <w:left w:type="dxa" w:w="240"/>
              <w:bottom w:type="dxa" w:w="200"/>
              <w:right w:type="dxa" w:w="240"/>
            </w:tcMar>
            <w:vAlign w:val="top"/>
          </w:tcPr>
          <w:p>
            <w:pPr>
              <w:spacing w:after="40" w:before="80"/>
            </w:pPr>
            <w:r>
              <w:rPr>
                <w:rFonts w:ascii="Arial" w:cs="Arial" w:eastAsia="Arial" w:hAnsi="Arial"/>
                <w:b/>
                <w:bCs/>
                <w:color w:val="C9A84C"/>
                <w:spacing w:val="40"/>
                <w:sz w:val="16"/>
                <w:szCs w:val="16"/>
              </w:rPr>
              <w:t xml:space="preserve">MANAGED</w:t>
            </w:r>
          </w:p>
          <w:p>
            <w:pPr>
              <w:spacing w:after="60" w:before="120"/>
            </w:pPr>
            <w:r>
              <w:rPr>
                <w:rFonts w:ascii="Arial" w:cs="Arial" w:eastAsia="Arial" w:hAnsi="Arial"/>
                <w:b/>
                <w:bCs/>
                <w:color w:val="0A1628"/>
                <w:sz w:val="20"/>
                <w:szCs w:val="20"/>
              </w:rPr>
              <w:t xml:space="preserve">Long-running operational discipline.</w:t>
            </w:r>
          </w:p>
          <w:p>
            <w:pPr>
              <w:spacing w:after="160" w:before="0" w:line="300"/>
              <w:jc w:val="left"/>
            </w:pPr>
            <w:r>
              <w:rPr>
                <w:rFonts w:ascii="Arial" w:cs="Arial" w:eastAsia="Arial" w:hAnsi="Arial"/>
                <w:color w:val="3B4A63"/>
                <w:sz w:val="18"/>
                <w:szCs w:val="18"/>
              </w:rPr>
              <w:t xml:space="preserve">A continuous service relationship (rolling 12-month commitments) covering managed IT, managed security, managed data privacy advisory, or managed business applications. Quarterly business reviews, KPI baselines, and continuous improvement built into the operating cadence.</w:t>
            </w:r>
          </w:p>
          <w:p>
            <w:pPr>
              <w:spacing w:after="60" w:before="0"/>
            </w:pPr>
            <w:r>
              <w:rPr>
                <w:rFonts w:ascii="Arial" w:cs="Arial" w:eastAsia="Arial" w:hAnsi="Arial"/>
                <w:b/>
                <w:bCs/>
                <w:color w:val="003B8E"/>
                <w:spacing w:val="25"/>
                <w:sz w:val="14"/>
                <w:szCs w:val="14"/>
              </w:rPr>
              <w:t xml:space="preserve">TYPICAL OUTPUT</w:t>
            </w:r>
          </w:p>
          <w:p>
            <w:pPr>
              <w:spacing w:after="120" w:before="0" w:line="300"/>
              <w:jc w:val="left"/>
            </w:pPr>
            <w:r>
              <w:rPr>
                <w:rFonts w:ascii="Arial" w:cs="Arial" w:eastAsia="Arial" w:hAnsi="Arial"/>
                <w:color w:val="3B4A63"/>
                <w:sz w:val="16"/>
                <w:szCs w:val="16"/>
              </w:rPr>
              <w:t xml:space="preserve">Documented SLA performance, audit-ready evidence binder, quarterly review reports, and demonstrable improvement against baselines.</w:t>
            </w:r>
          </w:p>
        </w:tc>
      </w:tr>
    </w:tbl>
    <w:p>
      <w:pPr>
        <w:spacing w:after="40" w:before="0"/>
      </w:pPr>
      <w:r>
        <w:rPr>
          <w:rFonts w:ascii="Arial" w:cs="Arial" w:eastAsia="Arial" w:hAnsi="Arial"/>
          <w:b/>
          <w:bCs/>
          <w:color w:val="C9A84C"/>
          <w:spacing w:val="30"/>
          <w:sz w:val="16"/>
          <w:szCs w:val="16"/>
        </w:rPr>
        <w:t xml:space="preserve">/ 09</w:t>
      </w:r>
    </w:p>
    <w:p>
      <w:pPr>
        <w:pStyle w:val="Heading1"/>
        <w:pageBreakBefore/>
        <w:spacing w:after="240" w:before="480"/>
      </w:pPr>
      <w:r>
        <w:rPr>
          <w:rFonts w:ascii="Arial" w:cs="Arial" w:eastAsia="Arial" w:hAnsi="Arial"/>
          <w:b/>
          <w:bCs/>
          <w:color w:val="0A1628"/>
          <w:sz w:val="36"/>
          <w:szCs w:val="36"/>
        </w:rPr>
        <w:t xml:space="preserve">Track Record &amp; Differentiators</w:t>
      </w:r>
    </w:p>
    <w:p>
      <w:pPr>
        <w:pBdr>
          <w:bottom w:val="single" w:color="C9A84C" w:sz="8" w:space="1"/>
        </w:pBdr>
        <w:spacing w:after="120" w:before="120"/>
      </w:pPr>
      <w:r>
        <w:t xml:space="preserve"/>
      </w:r>
    </w:p>
    <w:p>
      <w:pPr>
        <w:spacing w:after="320" w:before="80" w:line="300"/>
        <w:jc w:val="left"/>
      </w:pPr>
      <w:r>
        <w:rPr>
          <w:rFonts w:ascii="Arial" w:cs="Arial" w:eastAsia="Arial" w:hAnsi="Arial"/>
          <w:color w:val="0A1628"/>
          <w:sz w:val="22"/>
          <w:szCs w:val="22"/>
        </w:rPr>
        <w:t xml:space="preserve">Aggregated delivery numbers across the practice, current as of April 2026. Sector-specific reference engagements are available under NDA on request, and we are happy to walk prospective clients through the closest analogue to their own programme.</w:t>
      </w:r>
    </w:p>
    <w:p>
      <w:pPr>
        <w:pStyle w:val="Heading2"/>
        <w:spacing w:after="120" w:before="320"/>
      </w:pPr>
      <w:r>
        <w:rPr>
          <w:rFonts w:ascii="Arial" w:cs="Arial" w:eastAsia="Arial" w:hAnsi="Arial"/>
          <w:b/>
          <w:bCs/>
          <w:color w:val="0A1628"/>
          <w:sz w:val="24"/>
          <w:szCs w:val="24"/>
        </w:rPr>
        <w:t xml:space="preserve">Practice Numbers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520"/>
        <w:gridCol w:w="2520"/>
        <w:gridCol w:w="2520"/>
        <w:gridCol w:w="2520"/>
      </w:tblGrid>
      <w:tr>
        <w:tc>
          <w:tcPr>
            <w:tcW w:type="dxa" w:w="2520"/>
            <w:tcBorders>
              <w:top w:val="single" w:color="D6D9DE" w:sz="4"/>
              <w:left w:val="single" w:color="D6D9DE" w:sz="4"/>
              <w:bottom w:val="single" w:color="D6D9DE" w:sz="4"/>
              <w:right w:val="single" w:color="D6D9DE" w:sz="4"/>
            </w:tcBorders>
            <w:shd w:fill="0A1628" w:val="clear"/>
            <w:tcMar>
              <w:top w:type="dxa" w:w="240"/>
              <w:left w:type="dxa" w:w="80"/>
              <w:bottom w:type="dxa" w:w="240"/>
              <w:right w:type="dxa" w:w="80"/>
            </w:tcMar>
            <w:vAlign w:val="center"/>
          </w:tcPr>
          <w:p>
            <w:pPr>
              <w:spacing w:after="60" w:before="120"/>
              <w:jc w:val="center"/>
            </w:pPr>
            <w:r>
              <w:rPr>
                <w:rFonts w:ascii="Arial" w:cs="Arial" w:eastAsia="Arial" w:hAnsi="Arial"/>
                <w:b/>
                <w:bCs/>
                <w:color w:val="C9A84C"/>
                <w:sz w:val="60"/>
                <w:szCs w:val="60"/>
              </w:rPr>
              <w:t xml:space="preserve">120+</w:t>
            </w:r>
          </w:p>
          <w:p>
            <w:pPr>
              <w:spacing w:after="120" w:before="0"/>
              <w:jc w:val="center"/>
            </w:pPr>
            <w:r>
              <w:rPr>
                <w:rFonts w:ascii="Arial" w:cs="Arial" w:eastAsia="Arial" w:hAnsi="Arial"/>
                <w:b/>
                <w:bCs/>
                <w:color w:val="6E7A91"/>
                <w:spacing w:val="25"/>
                <w:sz w:val="12"/>
                <w:szCs w:val="12"/>
              </w:rPr>
              <w:t xml:space="preserve">ENGAGEMENTS</w:t>
            </w:r>
          </w:p>
        </w:tc>
        <w:tc>
          <w:tcPr>
            <w:tcW w:type="dxa" w:w="2520"/>
            <w:tcBorders>
              <w:top w:val="single" w:color="D6D9DE" w:sz="4"/>
              <w:left w:val="single" w:color="D6D9DE" w:sz="4"/>
              <w:bottom w:val="single" w:color="D6D9DE" w:sz="4"/>
              <w:right w:val="single" w:color="D6D9DE" w:sz="4"/>
            </w:tcBorders>
            <w:shd w:fill="0A1628" w:val="clear"/>
            <w:tcMar>
              <w:top w:type="dxa" w:w="240"/>
              <w:left w:type="dxa" w:w="80"/>
              <w:bottom w:type="dxa" w:w="240"/>
              <w:right w:type="dxa" w:w="80"/>
            </w:tcMar>
            <w:vAlign w:val="center"/>
          </w:tcPr>
          <w:p>
            <w:pPr>
              <w:spacing w:after="60" w:before="120"/>
              <w:jc w:val="center"/>
            </w:pPr>
            <w:r>
              <w:rPr>
                <w:rFonts w:ascii="Arial" w:cs="Arial" w:eastAsia="Arial" w:hAnsi="Arial"/>
                <w:b/>
                <w:bCs/>
                <w:color w:val="C9A84C"/>
                <w:sz w:val="60"/>
                <w:szCs w:val="60"/>
              </w:rPr>
              <w:t xml:space="preserve">40+</w:t>
            </w:r>
          </w:p>
          <w:p>
            <w:pPr>
              <w:spacing w:after="120" w:before="0"/>
              <w:jc w:val="center"/>
            </w:pPr>
            <w:r>
              <w:rPr>
                <w:rFonts w:ascii="Arial" w:cs="Arial" w:eastAsia="Arial" w:hAnsi="Arial"/>
                <w:b/>
                <w:bCs/>
                <w:color w:val="6E7A91"/>
                <w:spacing w:val="25"/>
                <w:sz w:val="12"/>
                <w:szCs w:val="12"/>
              </w:rPr>
              <w:t xml:space="preserve">REFERENCE CLIENTS</w:t>
            </w:r>
          </w:p>
        </w:tc>
        <w:tc>
          <w:tcPr>
            <w:tcW w:type="dxa" w:w="2520"/>
            <w:tcBorders>
              <w:top w:val="single" w:color="D6D9DE" w:sz="4"/>
              <w:left w:val="single" w:color="D6D9DE" w:sz="4"/>
              <w:bottom w:val="single" w:color="D6D9DE" w:sz="4"/>
              <w:right w:val="single" w:color="D6D9DE" w:sz="4"/>
            </w:tcBorders>
            <w:shd w:fill="0A1628" w:val="clear"/>
            <w:tcMar>
              <w:top w:type="dxa" w:w="240"/>
              <w:left w:type="dxa" w:w="80"/>
              <w:bottom w:type="dxa" w:w="240"/>
              <w:right w:type="dxa" w:w="80"/>
            </w:tcMar>
            <w:vAlign w:val="center"/>
          </w:tcPr>
          <w:p>
            <w:pPr>
              <w:spacing w:after="60" w:before="120"/>
              <w:jc w:val="center"/>
            </w:pPr>
            <w:r>
              <w:rPr>
                <w:rFonts w:ascii="Arial" w:cs="Arial" w:eastAsia="Arial" w:hAnsi="Arial"/>
                <w:b/>
                <w:bCs/>
                <w:color w:val="C9A84C"/>
                <w:sz w:val="60"/>
                <w:szCs w:val="60"/>
              </w:rPr>
              <w:t xml:space="preserve">14+</w:t>
            </w:r>
          </w:p>
          <w:p>
            <w:pPr>
              <w:spacing w:after="120" w:before="0"/>
              <w:jc w:val="center"/>
            </w:pPr>
            <w:r>
              <w:rPr>
                <w:rFonts w:ascii="Arial" w:cs="Arial" w:eastAsia="Arial" w:hAnsi="Arial"/>
                <w:b/>
                <w:bCs/>
                <w:color w:val="6E7A91"/>
                <w:spacing w:val="25"/>
                <w:sz w:val="12"/>
                <w:szCs w:val="12"/>
              </w:rPr>
              <w:t xml:space="preserve">FRAMEWORKS</w:t>
            </w:r>
          </w:p>
        </w:tc>
        <w:tc>
          <w:tcPr>
            <w:tcW w:type="dxa" w:w="2520"/>
            <w:tcBorders>
              <w:top w:val="single" w:color="D6D9DE" w:sz="4"/>
              <w:left w:val="single" w:color="D6D9DE" w:sz="4"/>
              <w:bottom w:val="single" w:color="D6D9DE" w:sz="4"/>
              <w:right w:val="single" w:color="D6D9DE" w:sz="4"/>
            </w:tcBorders>
            <w:shd w:fill="0A1628" w:val="clear"/>
            <w:tcMar>
              <w:top w:type="dxa" w:w="240"/>
              <w:left w:type="dxa" w:w="80"/>
              <w:bottom w:type="dxa" w:w="240"/>
              <w:right w:type="dxa" w:w="80"/>
            </w:tcMar>
            <w:vAlign w:val="center"/>
          </w:tcPr>
          <w:p>
            <w:pPr>
              <w:spacing w:after="60" w:before="120"/>
              <w:jc w:val="center"/>
            </w:pPr>
            <w:r>
              <w:rPr>
                <w:rFonts w:ascii="Arial" w:cs="Arial" w:eastAsia="Arial" w:hAnsi="Arial"/>
                <w:b/>
                <w:bCs/>
                <w:color w:val="C9A84C"/>
                <w:sz w:val="60"/>
                <w:szCs w:val="60"/>
              </w:rPr>
              <w:t xml:space="preserve">98%</w:t>
            </w:r>
          </w:p>
          <w:p>
            <w:pPr>
              <w:spacing w:after="120" w:before="0"/>
              <w:jc w:val="center"/>
            </w:pPr>
            <w:r>
              <w:rPr>
                <w:rFonts w:ascii="Arial" w:cs="Arial" w:eastAsia="Arial" w:hAnsi="Arial"/>
                <w:b/>
                <w:bCs/>
                <w:color w:val="6E7A91"/>
                <w:spacing w:val="25"/>
                <w:sz w:val="12"/>
                <w:szCs w:val="12"/>
              </w:rPr>
              <w:t xml:space="preserve">ON-TIME DELIVERY</w:t>
            </w:r>
          </w:p>
        </w:tc>
      </w:tr>
    </w:tbl>
    <w:p>
      <w:pPr>
        <w:pStyle w:val="Heading2"/>
        <w:spacing w:after="120" w:before="320"/>
      </w:pPr>
      <w:r>
        <w:rPr>
          <w:rFonts w:ascii="Arial" w:cs="Arial" w:eastAsia="Arial" w:hAnsi="Arial"/>
          <w:b/>
          <w:bCs/>
          <w:color w:val="0A1628"/>
          <w:sz w:val="24"/>
          <w:szCs w:val="24"/>
        </w:rPr>
        <w:t xml:space="preserve">Anonymised Engagement Categories</w:t>
      </w:r>
    </w:p>
    <w:p>
      <w:pPr>
        <w:spacing w:after="240" w:before="0" w:line="300"/>
        <w:jc w:val="left"/>
      </w:pPr>
      <w:r>
        <w:rPr>
          <w:rFonts w:ascii="Arial" w:cs="Arial" w:eastAsia="Arial" w:hAnsi="Arial"/>
          <w:color w:val="3B4A63"/>
          <w:sz w:val="20"/>
          <w:szCs w:val="20"/>
        </w:rPr>
        <w:t xml:space="preserve">A representative cross-section of the engagement types we deliver. Named references available under NDA.</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520"/>
        <w:gridCol w:w="4480"/>
        <w:gridCol w:w="1500"/>
        <w:gridCol w:w="1580"/>
      </w:tblGrid>
      <w:tr>
        <w:tc>
          <w:tcPr>
            <w:tcW w:type="dxa" w:w="2520"/>
            <w:tcBorders>
              <w:top w:val="single" w:color="D6D9DE" w:sz="4"/>
              <w:left w:val="single" w:color="D6D9DE" w:sz="4"/>
              <w:bottom w:val="single" w:color="D6D9DE" w:sz="4"/>
              <w:right w:val="single" w:color="D6D9DE" w:sz="4"/>
            </w:tcBorders>
            <w:shd w:fill="0A1628" w:val="clear"/>
            <w:tcMar>
              <w:top w:type="dxa" w:w="100"/>
              <w:left w:type="dxa" w:w="160"/>
              <w:bottom w:type="dxa" w:w="100"/>
              <w:right w:type="dxa" w:w="160"/>
            </w:tcMar>
            <w:vAlign w:val="center"/>
          </w:tcPr>
          <w:p>
            <w:pPr>
              <w:spacing w:after="120" w:before="0" w:line="300"/>
              <w:jc w:val="left"/>
            </w:pPr>
            <w:r>
              <w:rPr>
                <w:rFonts w:ascii="Arial" w:cs="Arial" w:eastAsia="Arial" w:hAnsi="Arial"/>
                <w:b/>
                <w:bCs/>
                <w:color w:val="FFFFFF"/>
                <w:spacing w:val="25"/>
                <w:sz w:val="13"/>
                <w:szCs w:val="13"/>
              </w:rPr>
              <w:t xml:space="preserve">SECTOR</w:t>
            </w:r>
          </w:p>
        </w:tc>
        <w:tc>
          <w:tcPr>
            <w:tcW w:type="dxa" w:w="4480"/>
            <w:tcBorders>
              <w:top w:val="single" w:color="D6D9DE" w:sz="4"/>
              <w:left w:val="single" w:color="D6D9DE" w:sz="4"/>
              <w:bottom w:val="single" w:color="D6D9DE" w:sz="4"/>
              <w:right w:val="single" w:color="D6D9DE" w:sz="4"/>
            </w:tcBorders>
            <w:shd w:fill="0A1628" w:val="clear"/>
            <w:tcMar>
              <w:top w:type="dxa" w:w="100"/>
              <w:left w:type="dxa" w:w="160"/>
              <w:bottom w:type="dxa" w:w="100"/>
              <w:right w:type="dxa" w:w="160"/>
            </w:tcMar>
            <w:vAlign w:val="center"/>
          </w:tcPr>
          <w:p>
            <w:pPr>
              <w:spacing w:after="120" w:before="0" w:line="300"/>
              <w:jc w:val="left"/>
            </w:pPr>
            <w:r>
              <w:rPr>
                <w:rFonts w:ascii="Arial" w:cs="Arial" w:eastAsia="Arial" w:hAnsi="Arial"/>
                <w:b/>
                <w:bCs/>
                <w:color w:val="FFFFFF"/>
                <w:spacing w:val="25"/>
                <w:sz w:val="13"/>
                <w:szCs w:val="13"/>
              </w:rPr>
              <w:t xml:space="preserve">ENGAGEMENT TYPE</w:t>
            </w:r>
          </w:p>
        </w:tc>
        <w:tc>
          <w:tcPr>
            <w:tcW w:type="dxa" w:w="1500"/>
            <w:tcBorders>
              <w:top w:val="single" w:color="D6D9DE" w:sz="4"/>
              <w:left w:val="single" w:color="D6D9DE" w:sz="4"/>
              <w:bottom w:val="single" w:color="D6D9DE" w:sz="4"/>
              <w:right w:val="single" w:color="D6D9DE" w:sz="4"/>
            </w:tcBorders>
            <w:shd w:fill="0A1628" w:val="clear"/>
            <w:tcMar>
              <w:top w:type="dxa" w:w="100"/>
              <w:left w:type="dxa" w:w="160"/>
              <w:bottom w:type="dxa" w:w="100"/>
              <w:right w:type="dxa" w:w="160"/>
            </w:tcMar>
            <w:vAlign w:val="center"/>
          </w:tcPr>
          <w:p>
            <w:pPr>
              <w:spacing w:after="120" w:before="0" w:line="300"/>
              <w:jc w:val="left"/>
            </w:pPr>
            <w:r>
              <w:rPr>
                <w:rFonts w:ascii="Arial" w:cs="Arial" w:eastAsia="Arial" w:hAnsi="Arial"/>
                <w:b/>
                <w:bCs/>
                <w:color w:val="FFFFFF"/>
                <w:spacing w:val="25"/>
                <w:sz w:val="13"/>
                <w:szCs w:val="13"/>
              </w:rPr>
              <w:t xml:space="preserve">SCALE</w:t>
            </w:r>
          </w:p>
        </w:tc>
        <w:tc>
          <w:tcPr>
            <w:tcW w:type="dxa" w:w="1580"/>
            <w:tcBorders>
              <w:top w:val="single" w:color="D6D9DE" w:sz="4"/>
              <w:left w:val="single" w:color="D6D9DE" w:sz="4"/>
              <w:bottom w:val="single" w:color="D6D9DE" w:sz="4"/>
              <w:right w:val="single" w:color="D6D9DE" w:sz="4"/>
            </w:tcBorders>
            <w:shd w:fill="0A1628" w:val="clear"/>
            <w:tcMar>
              <w:top w:type="dxa" w:w="100"/>
              <w:left w:type="dxa" w:w="160"/>
              <w:bottom w:type="dxa" w:w="100"/>
              <w:right w:type="dxa" w:w="160"/>
            </w:tcMar>
            <w:vAlign w:val="center"/>
          </w:tcPr>
          <w:p>
            <w:pPr>
              <w:spacing w:after="120" w:before="0" w:line="300"/>
              <w:jc w:val="left"/>
            </w:pPr>
            <w:r>
              <w:rPr>
                <w:rFonts w:ascii="Arial" w:cs="Arial" w:eastAsia="Arial" w:hAnsi="Arial"/>
                <w:b/>
                <w:bCs/>
                <w:color w:val="FFFFFF"/>
                <w:spacing w:val="25"/>
                <w:sz w:val="13"/>
                <w:szCs w:val="13"/>
              </w:rPr>
              <w:t xml:space="preserve">REGION</w:t>
            </w:r>
          </w:p>
        </w:tc>
      </w:tr>
      <w:tr>
        <w:tc>
          <w:tcPr>
            <w:tcW w:type="dxa" w:w="2520"/>
            <w:tcBorders>
              <w:top w:val="single" w:color="D6D9DE" w:sz="4"/>
              <w:left w:val="single" w:color="D6D9DE" w:sz="4"/>
              <w:bottom w:val="single" w:color="D6D9DE" w:sz="4"/>
              <w:right w:val="single" w:color="D6D9DE" w:sz="4"/>
            </w:tcBorders>
            <w:shd w:fill="F4F1E8" w:val="clear"/>
            <w:tcMar>
              <w:top w:type="dxa" w:w="120"/>
              <w:left w:type="dxa" w:w="160"/>
              <w:bottom w:type="dxa" w:w="120"/>
              <w:right w:type="dxa" w:w="160"/>
            </w:tcMar>
            <w:vAlign w:val="top"/>
          </w:tcPr>
          <w:p>
            <w:pPr>
              <w:spacing w:after="120" w:before="0" w:line="300"/>
              <w:jc w:val="left"/>
            </w:pPr>
            <w:r>
              <w:rPr>
                <w:rFonts w:ascii="Arial" w:cs="Arial" w:eastAsia="Arial" w:hAnsi="Arial"/>
                <w:color w:val="3B4A63"/>
                <w:sz w:val="20"/>
                <w:szCs w:val="20"/>
              </w:rPr>
              <w:t xml:space="preserve">Banking</w:t>
            </w:r>
          </w:p>
        </w:tc>
        <w:tc>
          <w:tcPr>
            <w:tcW w:type="dxa" w:w="4480"/>
            <w:tcBorders>
              <w:top w:val="single" w:color="D6D9DE" w:sz="4"/>
              <w:left w:val="single" w:color="D6D9DE" w:sz="4"/>
              <w:bottom w:val="single" w:color="D6D9DE" w:sz="4"/>
              <w:right w:val="single" w:color="D6D9DE" w:sz="4"/>
            </w:tcBorders>
            <w:shd w:fill="F4F1E8" w:val="clear"/>
            <w:tcMar>
              <w:top w:type="dxa" w:w="120"/>
              <w:left w:type="dxa" w:w="160"/>
              <w:bottom w:type="dxa" w:w="120"/>
              <w:right w:type="dxa" w:w="160"/>
            </w:tcMar>
            <w:vAlign w:val="top"/>
          </w:tcPr>
          <w:p>
            <w:pPr>
              <w:spacing w:after="120" w:before="0" w:line="300"/>
              <w:jc w:val="left"/>
            </w:pPr>
            <w:r>
              <w:rPr>
                <w:rFonts w:ascii="Arial" w:cs="Arial" w:eastAsia="Arial" w:hAnsi="Arial"/>
                <w:color w:val="3B4A63"/>
                <w:sz w:val="20"/>
                <w:szCs w:val="20"/>
              </w:rPr>
              <w:t xml:space="preserve">Sovereign Kubernetes platform · regulated bank</w:t>
            </w:r>
          </w:p>
        </w:tc>
        <w:tc>
          <w:tcPr>
            <w:tcW w:type="dxa" w:w="1500"/>
            <w:tcBorders>
              <w:top w:val="single" w:color="D6D9DE" w:sz="4"/>
              <w:left w:val="single" w:color="D6D9DE" w:sz="4"/>
              <w:bottom w:val="single" w:color="D6D9DE" w:sz="4"/>
              <w:right w:val="single" w:color="D6D9DE" w:sz="4"/>
            </w:tcBorders>
            <w:shd w:fill="F4F1E8" w:val="clear"/>
            <w:tcMar>
              <w:top w:type="dxa" w:w="120"/>
              <w:left w:type="dxa" w:w="160"/>
              <w:bottom w:type="dxa" w:w="120"/>
              <w:right w:type="dxa" w:w="160"/>
            </w:tcMar>
            <w:vAlign w:val="top"/>
          </w:tcPr>
          <w:p>
            <w:pPr>
              <w:spacing w:after="120" w:before="0" w:line="300"/>
              <w:jc w:val="left"/>
            </w:pPr>
            <w:r>
              <w:rPr>
                <w:rFonts w:ascii="Arial" w:cs="Arial" w:eastAsia="Arial" w:hAnsi="Arial"/>
                <w:color w:val="3B4A63"/>
                <w:sz w:val="20"/>
                <w:szCs w:val="20"/>
              </w:rPr>
              <w:t xml:space="preserve">18 weeks</w:t>
            </w:r>
          </w:p>
        </w:tc>
        <w:tc>
          <w:tcPr>
            <w:tcW w:type="dxa" w:w="1580"/>
            <w:tcBorders>
              <w:top w:val="single" w:color="D6D9DE" w:sz="4"/>
              <w:left w:val="single" w:color="D6D9DE" w:sz="4"/>
              <w:bottom w:val="single" w:color="D6D9DE" w:sz="4"/>
              <w:right w:val="single" w:color="D6D9DE" w:sz="4"/>
            </w:tcBorders>
            <w:shd w:fill="F4F1E8" w:val="clear"/>
            <w:tcMar>
              <w:top w:type="dxa" w:w="120"/>
              <w:left w:type="dxa" w:w="160"/>
              <w:bottom w:type="dxa" w:w="120"/>
              <w:right w:type="dxa" w:w="160"/>
            </w:tcMar>
            <w:vAlign w:val="top"/>
          </w:tcPr>
          <w:p>
            <w:pPr>
              <w:spacing w:after="120" w:before="0" w:line="300"/>
              <w:jc w:val="left"/>
            </w:pPr>
            <w:r>
              <w:rPr>
                <w:rFonts w:ascii="Arial" w:cs="Arial" w:eastAsia="Arial" w:hAnsi="Arial"/>
                <w:color w:val="3B4A63"/>
                <w:sz w:val="20"/>
                <w:szCs w:val="20"/>
              </w:rPr>
              <w:t xml:space="preserve">GCC</w:t>
            </w:r>
          </w:p>
        </w:tc>
      </w:tr>
      <w:tr>
        <w:tc>
          <w:tcPr>
            <w:tcW w:type="dxa" w:w="2520"/>
            <w:tcBorders>
              <w:top w:val="single" w:color="D6D9DE" w:sz="4"/>
              <w:left w:val="single" w:color="D6D9DE" w:sz="4"/>
              <w:bottom w:val="single" w:color="D6D9DE" w:sz="4"/>
              <w:right w:val="single" w:color="D6D9DE" w:sz="4"/>
            </w:tcBorders>
            <w:tcMar>
              <w:top w:type="dxa" w:w="120"/>
              <w:left w:type="dxa" w:w="160"/>
              <w:bottom w:type="dxa" w:w="120"/>
              <w:right w:type="dxa" w:w="160"/>
            </w:tcMar>
            <w:vAlign w:val="top"/>
          </w:tcPr>
          <w:p>
            <w:pPr>
              <w:spacing w:after="120" w:before="0" w:line="300"/>
              <w:jc w:val="left"/>
            </w:pPr>
            <w:r>
              <w:rPr>
                <w:rFonts w:ascii="Arial" w:cs="Arial" w:eastAsia="Arial" w:hAnsi="Arial"/>
                <w:color w:val="3B4A63"/>
                <w:sz w:val="20"/>
                <w:szCs w:val="20"/>
              </w:rPr>
              <w:t xml:space="preserve">Healthcare</w:t>
            </w:r>
          </w:p>
        </w:tc>
        <w:tc>
          <w:tcPr>
            <w:tcW w:type="dxa" w:w="4480"/>
            <w:tcBorders>
              <w:top w:val="single" w:color="D6D9DE" w:sz="4"/>
              <w:left w:val="single" w:color="D6D9DE" w:sz="4"/>
              <w:bottom w:val="single" w:color="D6D9DE" w:sz="4"/>
              <w:right w:val="single" w:color="D6D9DE" w:sz="4"/>
            </w:tcBorders>
            <w:tcMar>
              <w:top w:type="dxa" w:w="120"/>
              <w:left w:type="dxa" w:w="160"/>
              <w:bottom w:type="dxa" w:w="120"/>
              <w:right w:type="dxa" w:w="160"/>
            </w:tcMar>
            <w:vAlign w:val="top"/>
          </w:tcPr>
          <w:p>
            <w:pPr>
              <w:spacing w:after="120" w:before="0" w:line="300"/>
              <w:jc w:val="left"/>
            </w:pPr>
            <w:r>
              <w:rPr>
                <w:rFonts w:ascii="Arial" w:cs="Arial" w:eastAsia="Arial" w:hAnsi="Arial"/>
                <w:color w:val="3B4A63"/>
                <w:sz w:val="20"/>
                <w:szCs w:val="20"/>
              </w:rPr>
              <w:t xml:space="preserve">NPHIES integration · CCHI hospital group</w:t>
            </w:r>
          </w:p>
        </w:tc>
        <w:tc>
          <w:tcPr>
            <w:tcW w:type="dxa" w:w="1500"/>
            <w:tcBorders>
              <w:top w:val="single" w:color="D6D9DE" w:sz="4"/>
              <w:left w:val="single" w:color="D6D9DE" w:sz="4"/>
              <w:bottom w:val="single" w:color="D6D9DE" w:sz="4"/>
              <w:right w:val="single" w:color="D6D9DE" w:sz="4"/>
            </w:tcBorders>
            <w:tcMar>
              <w:top w:type="dxa" w:w="120"/>
              <w:left w:type="dxa" w:w="160"/>
              <w:bottom w:type="dxa" w:w="120"/>
              <w:right w:type="dxa" w:w="160"/>
            </w:tcMar>
            <w:vAlign w:val="top"/>
          </w:tcPr>
          <w:p>
            <w:pPr>
              <w:spacing w:after="120" w:before="0" w:line="300"/>
              <w:jc w:val="left"/>
            </w:pPr>
            <w:r>
              <w:rPr>
                <w:rFonts w:ascii="Arial" w:cs="Arial" w:eastAsia="Arial" w:hAnsi="Arial"/>
                <w:color w:val="3B4A63"/>
                <w:sz w:val="20"/>
                <w:szCs w:val="20"/>
              </w:rPr>
              <w:t xml:space="preserve">22 weeks</w:t>
            </w:r>
          </w:p>
        </w:tc>
        <w:tc>
          <w:tcPr>
            <w:tcW w:type="dxa" w:w="1580"/>
            <w:tcBorders>
              <w:top w:val="single" w:color="D6D9DE" w:sz="4"/>
              <w:left w:val="single" w:color="D6D9DE" w:sz="4"/>
              <w:bottom w:val="single" w:color="D6D9DE" w:sz="4"/>
              <w:right w:val="single" w:color="D6D9DE" w:sz="4"/>
            </w:tcBorders>
            <w:tcMar>
              <w:top w:type="dxa" w:w="120"/>
              <w:left w:type="dxa" w:w="160"/>
              <w:bottom w:type="dxa" w:w="120"/>
              <w:right w:type="dxa" w:w="160"/>
            </w:tcMar>
            <w:vAlign w:val="top"/>
          </w:tcPr>
          <w:p>
            <w:pPr>
              <w:spacing w:after="120" w:before="0" w:line="300"/>
              <w:jc w:val="left"/>
            </w:pPr>
            <w:r>
              <w:rPr>
                <w:rFonts w:ascii="Arial" w:cs="Arial" w:eastAsia="Arial" w:hAnsi="Arial"/>
                <w:color w:val="3B4A63"/>
                <w:sz w:val="20"/>
                <w:szCs w:val="20"/>
              </w:rPr>
              <w:t xml:space="preserve">KSA</w:t>
            </w:r>
          </w:p>
        </w:tc>
      </w:tr>
      <w:tr>
        <w:tc>
          <w:tcPr>
            <w:tcW w:type="dxa" w:w="2520"/>
            <w:tcBorders>
              <w:top w:val="single" w:color="D6D9DE" w:sz="4"/>
              <w:left w:val="single" w:color="D6D9DE" w:sz="4"/>
              <w:bottom w:val="single" w:color="D6D9DE" w:sz="4"/>
              <w:right w:val="single" w:color="D6D9DE" w:sz="4"/>
            </w:tcBorders>
            <w:shd w:fill="F4F1E8" w:val="clear"/>
            <w:tcMar>
              <w:top w:type="dxa" w:w="120"/>
              <w:left w:type="dxa" w:w="160"/>
              <w:bottom w:type="dxa" w:w="120"/>
              <w:right w:type="dxa" w:w="160"/>
            </w:tcMar>
            <w:vAlign w:val="top"/>
          </w:tcPr>
          <w:p>
            <w:pPr>
              <w:spacing w:after="120" w:before="0" w:line="300"/>
              <w:jc w:val="left"/>
            </w:pPr>
            <w:r>
              <w:rPr>
                <w:rFonts w:ascii="Arial" w:cs="Arial" w:eastAsia="Arial" w:hAnsi="Arial"/>
                <w:color w:val="3B4A63"/>
                <w:sz w:val="20"/>
                <w:szCs w:val="20"/>
              </w:rPr>
              <w:t xml:space="preserve">Government</w:t>
            </w:r>
          </w:p>
        </w:tc>
        <w:tc>
          <w:tcPr>
            <w:tcW w:type="dxa" w:w="4480"/>
            <w:tcBorders>
              <w:top w:val="single" w:color="D6D9DE" w:sz="4"/>
              <w:left w:val="single" w:color="D6D9DE" w:sz="4"/>
              <w:bottom w:val="single" w:color="D6D9DE" w:sz="4"/>
              <w:right w:val="single" w:color="D6D9DE" w:sz="4"/>
            </w:tcBorders>
            <w:shd w:fill="F4F1E8" w:val="clear"/>
            <w:tcMar>
              <w:top w:type="dxa" w:w="120"/>
              <w:left w:type="dxa" w:w="160"/>
              <w:bottom w:type="dxa" w:w="120"/>
              <w:right w:type="dxa" w:w="160"/>
            </w:tcMar>
            <w:vAlign w:val="top"/>
          </w:tcPr>
          <w:p>
            <w:pPr>
              <w:spacing w:after="120" w:before="0" w:line="300"/>
              <w:jc w:val="left"/>
            </w:pPr>
            <w:r>
              <w:rPr>
                <w:rFonts w:ascii="Arial" w:cs="Arial" w:eastAsia="Arial" w:hAnsi="Arial"/>
                <w:color w:val="3B4A63"/>
                <w:sz w:val="20"/>
                <w:szCs w:val="20"/>
              </w:rPr>
              <w:t xml:space="preserve">Sovereign cloud architecture · ministry programme</w:t>
            </w:r>
          </w:p>
        </w:tc>
        <w:tc>
          <w:tcPr>
            <w:tcW w:type="dxa" w:w="1500"/>
            <w:tcBorders>
              <w:top w:val="single" w:color="D6D9DE" w:sz="4"/>
              <w:left w:val="single" w:color="D6D9DE" w:sz="4"/>
              <w:bottom w:val="single" w:color="D6D9DE" w:sz="4"/>
              <w:right w:val="single" w:color="D6D9DE" w:sz="4"/>
            </w:tcBorders>
            <w:shd w:fill="F4F1E8" w:val="clear"/>
            <w:tcMar>
              <w:top w:type="dxa" w:w="120"/>
              <w:left w:type="dxa" w:w="160"/>
              <w:bottom w:type="dxa" w:w="120"/>
              <w:right w:type="dxa" w:w="160"/>
            </w:tcMar>
            <w:vAlign w:val="top"/>
          </w:tcPr>
          <w:p>
            <w:pPr>
              <w:spacing w:after="120" w:before="0" w:line="300"/>
              <w:jc w:val="left"/>
            </w:pPr>
            <w:r>
              <w:rPr>
                <w:rFonts w:ascii="Arial" w:cs="Arial" w:eastAsia="Arial" w:hAnsi="Arial"/>
                <w:color w:val="3B4A63"/>
                <w:sz w:val="20"/>
                <w:szCs w:val="20"/>
              </w:rPr>
              <w:t xml:space="preserve">36 weeks</w:t>
            </w:r>
          </w:p>
        </w:tc>
        <w:tc>
          <w:tcPr>
            <w:tcW w:type="dxa" w:w="1580"/>
            <w:tcBorders>
              <w:top w:val="single" w:color="D6D9DE" w:sz="4"/>
              <w:left w:val="single" w:color="D6D9DE" w:sz="4"/>
              <w:bottom w:val="single" w:color="D6D9DE" w:sz="4"/>
              <w:right w:val="single" w:color="D6D9DE" w:sz="4"/>
            </w:tcBorders>
            <w:shd w:fill="F4F1E8" w:val="clear"/>
            <w:tcMar>
              <w:top w:type="dxa" w:w="120"/>
              <w:left w:type="dxa" w:w="160"/>
              <w:bottom w:type="dxa" w:w="120"/>
              <w:right w:type="dxa" w:w="160"/>
            </w:tcMar>
            <w:vAlign w:val="top"/>
          </w:tcPr>
          <w:p>
            <w:pPr>
              <w:spacing w:after="120" w:before="0" w:line="300"/>
              <w:jc w:val="left"/>
            </w:pPr>
            <w:r>
              <w:rPr>
                <w:rFonts w:ascii="Arial" w:cs="Arial" w:eastAsia="Arial" w:hAnsi="Arial"/>
                <w:color w:val="3B4A63"/>
                <w:sz w:val="20"/>
                <w:szCs w:val="20"/>
              </w:rPr>
              <w:t xml:space="preserve">KSA</w:t>
            </w:r>
          </w:p>
        </w:tc>
      </w:tr>
      <w:tr>
        <w:tc>
          <w:tcPr>
            <w:tcW w:type="dxa" w:w="2520"/>
            <w:tcBorders>
              <w:top w:val="single" w:color="D6D9DE" w:sz="4"/>
              <w:left w:val="single" w:color="D6D9DE" w:sz="4"/>
              <w:bottom w:val="single" w:color="D6D9DE" w:sz="4"/>
              <w:right w:val="single" w:color="D6D9DE" w:sz="4"/>
            </w:tcBorders>
            <w:tcMar>
              <w:top w:type="dxa" w:w="120"/>
              <w:left w:type="dxa" w:w="160"/>
              <w:bottom w:type="dxa" w:w="120"/>
              <w:right w:type="dxa" w:w="160"/>
            </w:tcMar>
            <w:vAlign w:val="top"/>
          </w:tcPr>
          <w:p>
            <w:pPr>
              <w:spacing w:after="120" w:before="0" w:line="300"/>
              <w:jc w:val="left"/>
            </w:pPr>
            <w:r>
              <w:rPr>
                <w:rFonts w:ascii="Arial" w:cs="Arial" w:eastAsia="Arial" w:hAnsi="Arial"/>
                <w:color w:val="3B4A63"/>
                <w:sz w:val="20"/>
                <w:szCs w:val="20"/>
              </w:rPr>
              <w:t xml:space="preserve">Manufacturing</w:t>
            </w:r>
          </w:p>
        </w:tc>
        <w:tc>
          <w:tcPr>
            <w:tcW w:type="dxa" w:w="4480"/>
            <w:tcBorders>
              <w:top w:val="single" w:color="D6D9DE" w:sz="4"/>
              <w:left w:val="single" w:color="D6D9DE" w:sz="4"/>
              <w:bottom w:val="single" w:color="D6D9DE" w:sz="4"/>
              <w:right w:val="single" w:color="D6D9DE" w:sz="4"/>
            </w:tcBorders>
            <w:tcMar>
              <w:top w:type="dxa" w:w="120"/>
              <w:left w:type="dxa" w:w="160"/>
              <w:bottom w:type="dxa" w:w="120"/>
              <w:right w:type="dxa" w:w="160"/>
            </w:tcMar>
            <w:vAlign w:val="top"/>
          </w:tcPr>
          <w:p>
            <w:pPr>
              <w:spacing w:after="120" w:before="0" w:line="300"/>
              <w:jc w:val="left"/>
            </w:pPr>
            <w:r>
              <w:rPr>
                <w:rFonts w:ascii="Arial" w:cs="Arial" w:eastAsia="Arial" w:hAnsi="Arial"/>
                <w:color w:val="3B4A63"/>
                <w:sz w:val="20"/>
                <w:szCs w:val="20"/>
              </w:rPr>
              <w:t xml:space="preserve">Multi-entity Odoo ERP · ZATCA Phase 2</w:t>
            </w:r>
          </w:p>
        </w:tc>
        <w:tc>
          <w:tcPr>
            <w:tcW w:type="dxa" w:w="1500"/>
            <w:tcBorders>
              <w:top w:val="single" w:color="D6D9DE" w:sz="4"/>
              <w:left w:val="single" w:color="D6D9DE" w:sz="4"/>
              <w:bottom w:val="single" w:color="D6D9DE" w:sz="4"/>
              <w:right w:val="single" w:color="D6D9DE" w:sz="4"/>
            </w:tcBorders>
            <w:tcMar>
              <w:top w:type="dxa" w:w="120"/>
              <w:left w:type="dxa" w:w="160"/>
              <w:bottom w:type="dxa" w:w="120"/>
              <w:right w:type="dxa" w:w="160"/>
            </w:tcMar>
            <w:vAlign w:val="top"/>
          </w:tcPr>
          <w:p>
            <w:pPr>
              <w:spacing w:after="120" w:before="0" w:line="300"/>
              <w:jc w:val="left"/>
            </w:pPr>
            <w:r>
              <w:rPr>
                <w:rFonts w:ascii="Arial" w:cs="Arial" w:eastAsia="Arial" w:hAnsi="Arial"/>
                <w:color w:val="3B4A63"/>
                <w:sz w:val="20"/>
                <w:szCs w:val="20"/>
              </w:rPr>
              <w:t xml:space="preserve">24 weeks</w:t>
            </w:r>
          </w:p>
        </w:tc>
        <w:tc>
          <w:tcPr>
            <w:tcW w:type="dxa" w:w="1580"/>
            <w:tcBorders>
              <w:top w:val="single" w:color="D6D9DE" w:sz="4"/>
              <w:left w:val="single" w:color="D6D9DE" w:sz="4"/>
              <w:bottom w:val="single" w:color="D6D9DE" w:sz="4"/>
              <w:right w:val="single" w:color="D6D9DE" w:sz="4"/>
            </w:tcBorders>
            <w:tcMar>
              <w:top w:type="dxa" w:w="120"/>
              <w:left w:type="dxa" w:w="160"/>
              <w:bottom w:type="dxa" w:w="120"/>
              <w:right w:type="dxa" w:w="160"/>
            </w:tcMar>
            <w:vAlign w:val="top"/>
          </w:tcPr>
          <w:p>
            <w:pPr>
              <w:spacing w:after="120" w:before="0" w:line="300"/>
              <w:jc w:val="left"/>
            </w:pPr>
            <w:r>
              <w:rPr>
                <w:rFonts w:ascii="Arial" w:cs="Arial" w:eastAsia="Arial" w:hAnsi="Arial"/>
                <w:color w:val="3B4A63"/>
                <w:sz w:val="20"/>
                <w:szCs w:val="20"/>
              </w:rPr>
              <w:t xml:space="preserve">KSA</w:t>
            </w:r>
          </w:p>
        </w:tc>
      </w:tr>
      <w:tr>
        <w:tc>
          <w:tcPr>
            <w:tcW w:type="dxa" w:w="2520"/>
            <w:tcBorders>
              <w:top w:val="single" w:color="D6D9DE" w:sz="4"/>
              <w:left w:val="single" w:color="D6D9DE" w:sz="4"/>
              <w:bottom w:val="single" w:color="D6D9DE" w:sz="4"/>
              <w:right w:val="single" w:color="D6D9DE" w:sz="4"/>
            </w:tcBorders>
            <w:shd w:fill="F4F1E8" w:val="clear"/>
            <w:tcMar>
              <w:top w:type="dxa" w:w="120"/>
              <w:left w:type="dxa" w:w="160"/>
              <w:bottom w:type="dxa" w:w="120"/>
              <w:right w:type="dxa" w:w="160"/>
            </w:tcMar>
            <w:vAlign w:val="top"/>
          </w:tcPr>
          <w:p>
            <w:pPr>
              <w:spacing w:after="120" w:before="0" w:line="300"/>
              <w:jc w:val="left"/>
            </w:pPr>
            <w:r>
              <w:rPr>
                <w:rFonts w:ascii="Arial" w:cs="Arial" w:eastAsia="Arial" w:hAnsi="Arial"/>
                <w:color w:val="3B4A63"/>
                <w:sz w:val="20"/>
                <w:szCs w:val="20"/>
              </w:rPr>
              <w:t xml:space="preserve">Retail</w:t>
            </w:r>
          </w:p>
        </w:tc>
        <w:tc>
          <w:tcPr>
            <w:tcW w:type="dxa" w:w="4480"/>
            <w:tcBorders>
              <w:top w:val="single" w:color="D6D9DE" w:sz="4"/>
              <w:left w:val="single" w:color="D6D9DE" w:sz="4"/>
              <w:bottom w:val="single" w:color="D6D9DE" w:sz="4"/>
              <w:right w:val="single" w:color="D6D9DE" w:sz="4"/>
            </w:tcBorders>
            <w:shd w:fill="F4F1E8" w:val="clear"/>
            <w:tcMar>
              <w:top w:type="dxa" w:w="120"/>
              <w:left w:type="dxa" w:w="160"/>
              <w:bottom w:type="dxa" w:w="120"/>
              <w:right w:type="dxa" w:w="160"/>
            </w:tcMar>
            <w:vAlign w:val="top"/>
          </w:tcPr>
          <w:p>
            <w:pPr>
              <w:spacing w:after="120" w:before="0" w:line="300"/>
              <w:jc w:val="left"/>
            </w:pPr>
            <w:r>
              <w:rPr>
                <w:rFonts w:ascii="Arial" w:cs="Arial" w:eastAsia="Arial" w:hAnsi="Arial"/>
                <w:color w:val="3B4A63"/>
                <w:sz w:val="20"/>
                <w:szCs w:val="20"/>
              </w:rPr>
              <w:t xml:space="preserve">PDPL operational readiness programme</w:t>
            </w:r>
          </w:p>
        </w:tc>
        <w:tc>
          <w:tcPr>
            <w:tcW w:type="dxa" w:w="1500"/>
            <w:tcBorders>
              <w:top w:val="single" w:color="D6D9DE" w:sz="4"/>
              <w:left w:val="single" w:color="D6D9DE" w:sz="4"/>
              <w:bottom w:val="single" w:color="D6D9DE" w:sz="4"/>
              <w:right w:val="single" w:color="D6D9DE" w:sz="4"/>
            </w:tcBorders>
            <w:shd w:fill="F4F1E8" w:val="clear"/>
            <w:tcMar>
              <w:top w:type="dxa" w:w="120"/>
              <w:left w:type="dxa" w:w="160"/>
              <w:bottom w:type="dxa" w:w="120"/>
              <w:right w:type="dxa" w:w="160"/>
            </w:tcMar>
            <w:vAlign w:val="top"/>
          </w:tcPr>
          <w:p>
            <w:pPr>
              <w:spacing w:after="120" w:before="0" w:line="300"/>
              <w:jc w:val="left"/>
            </w:pPr>
            <w:r>
              <w:rPr>
                <w:rFonts w:ascii="Arial" w:cs="Arial" w:eastAsia="Arial" w:hAnsi="Arial"/>
                <w:color w:val="3B4A63"/>
                <w:sz w:val="20"/>
                <w:szCs w:val="20"/>
              </w:rPr>
              <w:t xml:space="preserve">14 weeks</w:t>
            </w:r>
          </w:p>
        </w:tc>
        <w:tc>
          <w:tcPr>
            <w:tcW w:type="dxa" w:w="1580"/>
            <w:tcBorders>
              <w:top w:val="single" w:color="D6D9DE" w:sz="4"/>
              <w:left w:val="single" w:color="D6D9DE" w:sz="4"/>
              <w:bottom w:val="single" w:color="D6D9DE" w:sz="4"/>
              <w:right w:val="single" w:color="D6D9DE" w:sz="4"/>
            </w:tcBorders>
            <w:shd w:fill="F4F1E8" w:val="clear"/>
            <w:tcMar>
              <w:top w:type="dxa" w:w="120"/>
              <w:left w:type="dxa" w:w="160"/>
              <w:bottom w:type="dxa" w:w="120"/>
              <w:right w:type="dxa" w:w="160"/>
            </w:tcMar>
            <w:vAlign w:val="top"/>
          </w:tcPr>
          <w:p>
            <w:pPr>
              <w:spacing w:after="120" w:before="0" w:line="300"/>
              <w:jc w:val="left"/>
            </w:pPr>
            <w:r>
              <w:rPr>
                <w:rFonts w:ascii="Arial" w:cs="Arial" w:eastAsia="Arial" w:hAnsi="Arial"/>
                <w:color w:val="3B4A63"/>
                <w:sz w:val="20"/>
                <w:szCs w:val="20"/>
              </w:rPr>
              <w:t xml:space="preserve">KSA</w:t>
            </w:r>
          </w:p>
        </w:tc>
      </w:tr>
      <w:tr>
        <w:tc>
          <w:tcPr>
            <w:tcW w:type="dxa" w:w="2520"/>
            <w:tcBorders>
              <w:top w:val="single" w:color="D6D9DE" w:sz="4"/>
              <w:left w:val="single" w:color="D6D9DE" w:sz="4"/>
              <w:bottom w:val="single" w:color="D6D9DE" w:sz="4"/>
              <w:right w:val="single" w:color="D6D9DE" w:sz="4"/>
            </w:tcBorders>
            <w:tcMar>
              <w:top w:type="dxa" w:w="120"/>
              <w:left w:type="dxa" w:w="160"/>
              <w:bottom w:type="dxa" w:w="120"/>
              <w:right w:type="dxa" w:w="160"/>
            </w:tcMar>
            <w:vAlign w:val="top"/>
          </w:tcPr>
          <w:p>
            <w:pPr>
              <w:spacing w:after="120" w:before="0" w:line="300"/>
              <w:jc w:val="left"/>
            </w:pPr>
            <w:r>
              <w:rPr>
                <w:rFonts w:ascii="Arial" w:cs="Arial" w:eastAsia="Arial" w:hAnsi="Arial"/>
                <w:color w:val="3B4A63"/>
                <w:sz w:val="20"/>
                <w:szCs w:val="20"/>
              </w:rPr>
              <w:t xml:space="preserve">Insurance</w:t>
            </w:r>
          </w:p>
        </w:tc>
        <w:tc>
          <w:tcPr>
            <w:tcW w:type="dxa" w:w="4480"/>
            <w:tcBorders>
              <w:top w:val="single" w:color="D6D9DE" w:sz="4"/>
              <w:left w:val="single" w:color="D6D9DE" w:sz="4"/>
              <w:bottom w:val="single" w:color="D6D9DE" w:sz="4"/>
              <w:right w:val="single" w:color="D6D9DE" w:sz="4"/>
            </w:tcBorders>
            <w:tcMar>
              <w:top w:type="dxa" w:w="120"/>
              <w:left w:type="dxa" w:w="160"/>
              <w:bottom w:type="dxa" w:w="120"/>
              <w:right w:type="dxa" w:w="160"/>
            </w:tcMar>
            <w:vAlign w:val="top"/>
          </w:tcPr>
          <w:p>
            <w:pPr>
              <w:spacing w:after="120" w:before="0" w:line="300"/>
              <w:jc w:val="left"/>
            </w:pPr>
            <w:r>
              <w:rPr>
                <w:rFonts w:ascii="Arial" w:cs="Arial" w:eastAsia="Arial" w:hAnsi="Arial"/>
                <w:color w:val="3B4A63"/>
                <w:sz w:val="20"/>
                <w:szCs w:val="20"/>
              </w:rPr>
              <w:t xml:space="preserve">DPDP Act implementation · regional insurer</w:t>
            </w:r>
          </w:p>
        </w:tc>
        <w:tc>
          <w:tcPr>
            <w:tcW w:type="dxa" w:w="1500"/>
            <w:tcBorders>
              <w:top w:val="single" w:color="D6D9DE" w:sz="4"/>
              <w:left w:val="single" w:color="D6D9DE" w:sz="4"/>
              <w:bottom w:val="single" w:color="D6D9DE" w:sz="4"/>
              <w:right w:val="single" w:color="D6D9DE" w:sz="4"/>
            </w:tcBorders>
            <w:tcMar>
              <w:top w:type="dxa" w:w="120"/>
              <w:left w:type="dxa" w:w="160"/>
              <w:bottom w:type="dxa" w:w="120"/>
              <w:right w:type="dxa" w:w="160"/>
            </w:tcMar>
            <w:vAlign w:val="top"/>
          </w:tcPr>
          <w:p>
            <w:pPr>
              <w:spacing w:after="120" w:before="0" w:line="300"/>
              <w:jc w:val="left"/>
            </w:pPr>
            <w:r>
              <w:rPr>
                <w:rFonts w:ascii="Arial" w:cs="Arial" w:eastAsia="Arial" w:hAnsi="Arial"/>
                <w:color w:val="3B4A63"/>
                <w:sz w:val="20"/>
                <w:szCs w:val="20"/>
              </w:rPr>
              <w:t xml:space="preserve">20 weeks</w:t>
            </w:r>
          </w:p>
        </w:tc>
        <w:tc>
          <w:tcPr>
            <w:tcW w:type="dxa" w:w="1580"/>
            <w:tcBorders>
              <w:top w:val="single" w:color="D6D9DE" w:sz="4"/>
              <w:left w:val="single" w:color="D6D9DE" w:sz="4"/>
              <w:bottom w:val="single" w:color="D6D9DE" w:sz="4"/>
              <w:right w:val="single" w:color="D6D9DE" w:sz="4"/>
            </w:tcBorders>
            <w:tcMar>
              <w:top w:type="dxa" w:w="120"/>
              <w:left w:type="dxa" w:w="160"/>
              <w:bottom w:type="dxa" w:w="120"/>
              <w:right w:type="dxa" w:w="160"/>
            </w:tcMar>
            <w:vAlign w:val="top"/>
          </w:tcPr>
          <w:p>
            <w:pPr>
              <w:spacing w:after="120" w:before="0" w:line="300"/>
              <w:jc w:val="left"/>
            </w:pPr>
            <w:r>
              <w:rPr>
                <w:rFonts w:ascii="Arial" w:cs="Arial" w:eastAsia="Arial" w:hAnsi="Arial"/>
                <w:color w:val="3B4A63"/>
                <w:sz w:val="20"/>
                <w:szCs w:val="20"/>
              </w:rPr>
              <w:t xml:space="preserve">India</w:t>
            </w:r>
          </w:p>
        </w:tc>
      </w:tr>
      <w:tr>
        <w:tc>
          <w:tcPr>
            <w:tcW w:type="dxa" w:w="2520"/>
            <w:tcBorders>
              <w:top w:val="single" w:color="D6D9DE" w:sz="4"/>
              <w:left w:val="single" w:color="D6D9DE" w:sz="4"/>
              <w:bottom w:val="single" w:color="D6D9DE" w:sz="4"/>
              <w:right w:val="single" w:color="D6D9DE" w:sz="4"/>
            </w:tcBorders>
            <w:shd w:fill="F4F1E8" w:val="clear"/>
            <w:tcMar>
              <w:top w:type="dxa" w:w="120"/>
              <w:left w:type="dxa" w:w="160"/>
              <w:bottom w:type="dxa" w:w="120"/>
              <w:right w:type="dxa" w:w="160"/>
            </w:tcMar>
            <w:vAlign w:val="top"/>
          </w:tcPr>
          <w:p>
            <w:pPr>
              <w:spacing w:after="120" w:before="0" w:line="300"/>
              <w:jc w:val="left"/>
            </w:pPr>
            <w:r>
              <w:rPr>
                <w:rFonts w:ascii="Arial" w:cs="Arial" w:eastAsia="Arial" w:hAnsi="Arial"/>
                <w:color w:val="3B4A63"/>
                <w:sz w:val="20"/>
                <w:szCs w:val="20"/>
              </w:rPr>
              <w:t xml:space="preserve">Energy</w:t>
            </w:r>
          </w:p>
        </w:tc>
        <w:tc>
          <w:tcPr>
            <w:tcW w:type="dxa" w:w="4480"/>
            <w:tcBorders>
              <w:top w:val="single" w:color="D6D9DE" w:sz="4"/>
              <w:left w:val="single" w:color="D6D9DE" w:sz="4"/>
              <w:bottom w:val="single" w:color="D6D9DE" w:sz="4"/>
              <w:right w:val="single" w:color="D6D9DE" w:sz="4"/>
            </w:tcBorders>
            <w:shd w:fill="F4F1E8" w:val="clear"/>
            <w:tcMar>
              <w:top w:type="dxa" w:w="120"/>
              <w:left w:type="dxa" w:w="160"/>
              <w:bottom w:type="dxa" w:w="120"/>
              <w:right w:type="dxa" w:w="160"/>
            </w:tcMar>
            <w:vAlign w:val="top"/>
          </w:tcPr>
          <w:p>
            <w:pPr>
              <w:spacing w:after="120" w:before="0" w:line="300"/>
              <w:jc w:val="left"/>
            </w:pPr>
            <w:r>
              <w:rPr>
                <w:rFonts w:ascii="Arial" w:cs="Arial" w:eastAsia="Arial" w:hAnsi="Arial"/>
                <w:color w:val="3B4A63"/>
                <w:sz w:val="20"/>
                <w:szCs w:val="20"/>
              </w:rPr>
              <w:t xml:space="preserve">OT/IT security audit · IEC 62443 alignment</w:t>
            </w:r>
          </w:p>
        </w:tc>
        <w:tc>
          <w:tcPr>
            <w:tcW w:type="dxa" w:w="1500"/>
            <w:tcBorders>
              <w:top w:val="single" w:color="D6D9DE" w:sz="4"/>
              <w:left w:val="single" w:color="D6D9DE" w:sz="4"/>
              <w:bottom w:val="single" w:color="D6D9DE" w:sz="4"/>
              <w:right w:val="single" w:color="D6D9DE" w:sz="4"/>
            </w:tcBorders>
            <w:shd w:fill="F4F1E8" w:val="clear"/>
            <w:tcMar>
              <w:top w:type="dxa" w:w="120"/>
              <w:left w:type="dxa" w:w="160"/>
              <w:bottom w:type="dxa" w:w="120"/>
              <w:right w:type="dxa" w:w="160"/>
            </w:tcMar>
            <w:vAlign w:val="top"/>
          </w:tcPr>
          <w:p>
            <w:pPr>
              <w:spacing w:after="120" w:before="0" w:line="300"/>
              <w:jc w:val="left"/>
            </w:pPr>
            <w:r>
              <w:rPr>
                <w:rFonts w:ascii="Arial" w:cs="Arial" w:eastAsia="Arial" w:hAnsi="Arial"/>
                <w:color w:val="3B4A63"/>
                <w:sz w:val="20"/>
                <w:szCs w:val="20"/>
              </w:rPr>
              <w:t xml:space="preserve">12 weeks</w:t>
            </w:r>
          </w:p>
        </w:tc>
        <w:tc>
          <w:tcPr>
            <w:tcW w:type="dxa" w:w="1580"/>
            <w:tcBorders>
              <w:top w:val="single" w:color="D6D9DE" w:sz="4"/>
              <w:left w:val="single" w:color="D6D9DE" w:sz="4"/>
              <w:bottom w:val="single" w:color="D6D9DE" w:sz="4"/>
              <w:right w:val="single" w:color="D6D9DE" w:sz="4"/>
            </w:tcBorders>
            <w:shd w:fill="F4F1E8" w:val="clear"/>
            <w:tcMar>
              <w:top w:type="dxa" w:w="120"/>
              <w:left w:type="dxa" w:w="160"/>
              <w:bottom w:type="dxa" w:w="120"/>
              <w:right w:type="dxa" w:w="160"/>
            </w:tcMar>
            <w:vAlign w:val="top"/>
          </w:tcPr>
          <w:p>
            <w:pPr>
              <w:spacing w:after="120" w:before="0" w:line="300"/>
              <w:jc w:val="left"/>
            </w:pPr>
            <w:r>
              <w:rPr>
                <w:rFonts w:ascii="Arial" w:cs="Arial" w:eastAsia="Arial" w:hAnsi="Arial"/>
                <w:color w:val="3B4A63"/>
                <w:sz w:val="20"/>
                <w:szCs w:val="20"/>
              </w:rPr>
              <w:t xml:space="preserve">GCC</w:t>
            </w:r>
          </w:p>
        </w:tc>
      </w:tr>
      <w:tr>
        <w:tc>
          <w:tcPr>
            <w:tcW w:type="dxa" w:w="2520"/>
            <w:tcBorders>
              <w:top w:val="single" w:color="D6D9DE" w:sz="4"/>
              <w:left w:val="single" w:color="D6D9DE" w:sz="4"/>
              <w:bottom w:val="single" w:color="D6D9DE" w:sz="4"/>
              <w:right w:val="single" w:color="D6D9DE" w:sz="4"/>
            </w:tcBorders>
            <w:tcMar>
              <w:top w:type="dxa" w:w="120"/>
              <w:left w:type="dxa" w:w="160"/>
              <w:bottom w:type="dxa" w:w="120"/>
              <w:right w:type="dxa" w:w="160"/>
            </w:tcMar>
            <w:vAlign w:val="top"/>
          </w:tcPr>
          <w:p>
            <w:pPr>
              <w:spacing w:after="120" w:before="0" w:line="300"/>
              <w:jc w:val="left"/>
            </w:pPr>
            <w:r>
              <w:rPr>
                <w:rFonts w:ascii="Arial" w:cs="Arial" w:eastAsia="Arial" w:hAnsi="Arial"/>
                <w:color w:val="3B4A63"/>
                <w:sz w:val="20"/>
                <w:szCs w:val="20"/>
              </w:rPr>
              <w:t xml:space="preserve">Education</w:t>
            </w:r>
          </w:p>
        </w:tc>
        <w:tc>
          <w:tcPr>
            <w:tcW w:type="dxa" w:w="4480"/>
            <w:tcBorders>
              <w:top w:val="single" w:color="D6D9DE" w:sz="4"/>
              <w:left w:val="single" w:color="D6D9DE" w:sz="4"/>
              <w:bottom w:val="single" w:color="D6D9DE" w:sz="4"/>
              <w:right w:val="single" w:color="D6D9DE" w:sz="4"/>
            </w:tcBorders>
            <w:tcMar>
              <w:top w:type="dxa" w:w="120"/>
              <w:left w:type="dxa" w:w="160"/>
              <w:bottom w:type="dxa" w:w="120"/>
              <w:right w:type="dxa" w:w="160"/>
            </w:tcMar>
            <w:vAlign w:val="top"/>
          </w:tcPr>
          <w:p>
            <w:pPr>
              <w:spacing w:after="120" w:before="0" w:line="300"/>
              <w:jc w:val="left"/>
            </w:pPr>
            <w:r>
              <w:rPr>
                <w:rFonts w:ascii="Arial" w:cs="Arial" w:eastAsia="Arial" w:hAnsi="Arial"/>
                <w:color w:val="3B4A63"/>
                <w:sz w:val="20"/>
                <w:szCs w:val="20"/>
              </w:rPr>
              <w:t xml:space="preserve">Student data privacy · Federal Decree-Law 51</w:t>
            </w:r>
          </w:p>
        </w:tc>
        <w:tc>
          <w:tcPr>
            <w:tcW w:type="dxa" w:w="1500"/>
            <w:tcBorders>
              <w:top w:val="single" w:color="D6D9DE" w:sz="4"/>
              <w:left w:val="single" w:color="D6D9DE" w:sz="4"/>
              <w:bottom w:val="single" w:color="D6D9DE" w:sz="4"/>
              <w:right w:val="single" w:color="D6D9DE" w:sz="4"/>
            </w:tcBorders>
            <w:tcMar>
              <w:top w:type="dxa" w:w="120"/>
              <w:left w:type="dxa" w:w="160"/>
              <w:bottom w:type="dxa" w:w="120"/>
              <w:right w:type="dxa" w:w="160"/>
            </w:tcMar>
            <w:vAlign w:val="top"/>
          </w:tcPr>
          <w:p>
            <w:pPr>
              <w:spacing w:after="120" w:before="0" w:line="300"/>
              <w:jc w:val="left"/>
            </w:pPr>
            <w:r>
              <w:rPr>
                <w:rFonts w:ascii="Arial" w:cs="Arial" w:eastAsia="Arial" w:hAnsi="Arial"/>
                <w:color w:val="3B4A63"/>
                <w:sz w:val="20"/>
                <w:szCs w:val="20"/>
              </w:rPr>
              <w:t xml:space="preserve">10 weeks</w:t>
            </w:r>
          </w:p>
        </w:tc>
        <w:tc>
          <w:tcPr>
            <w:tcW w:type="dxa" w:w="1580"/>
            <w:tcBorders>
              <w:top w:val="single" w:color="D6D9DE" w:sz="4"/>
              <w:left w:val="single" w:color="D6D9DE" w:sz="4"/>
              <w:bottom w:val="single" w:color="D6D9DE" w:sz="4"/>
              <w:right w:val="single" w:color="D6D9DE" w:sz="4"/>
            </w:tcBorders>
            <w:tcMar>
              <w:top w:type="dxa" w:w="120"/>
              <w:left w:type="dxa" w:w="160"/>
              <w:bottom w:type="dxa" w:w="120"/>
              <w:right w:type="dxa" w:w="160"/>
            </w:tcMar>
            <w:vAlign w:val="top"/>
          </w:tcPr>
          <w:p>
            <w:pPr>
              <w:spacing w:after="120" w:before="0" w:line="300"/>
              <w:jc w:val="left"/>
            </w:pPr>
            <w:r>
              <w:rPr>
                <w:rFonts w:ascii="Arial" w:cs="Arial" w:eastAsia="Arial" w:hAnsi="Arial"/>
                <w:color w:val="3B4A63"/>
                <w:sz w:val="20"/>
                <w:szCs w:val="20"/>
              </w:rPr>
              <w:t xml:space="preserve">UAE</w:t>
            </w:r>
          </w:p>
        </w:tc>
      </w:tr>
    </w:tbl>
    <w:p>
      <w:pPr>
        <w:spacing w:after="40" w:before="0"/>
      </w:pPr>
      <w:r>
        <w:rPr>
          <w:rFonts w:ascii="Arial" w:cs="Arial" w:eastAsia="Arial" w:hAnsi="Arial"/>
          <w:b/>
          <w:bCs/>
          <w:color w:val="C9A84C"/>
          <w:spacing w:val="30"/>
          <w:sz w:val="16"/>
          <w:szCs w:val="16"/>
        </w:rPr>
        <w:t xml:space="preserve">/ 10</w:t>
      </w:r>
    </w:p>
    <w:p>
      <w:pPr>
        <w:pStyle w:val="Heading1"/>
        <w:pageBreakBefore/>
        <w:spacing w:after="240" w:before="480"/>
      </w:pPr>
      <w:r>
        <w:rPr>
          <w:rFonts w:ascii="Arial" w:cs="Arial" w:eastAsia="Arial" w:hAnsi="Arial"/>
          <w:b/>
          <w:bCs/>
          <w:color w:val="0A1628"/>
          <w:sz w:val="36"/>
          <w:szCs w:val="36"/>
        </w:rPr>
        <w:t xml:space="preserve">Why Veltrixair</w:t>
      </w:r>
    </w:p>
    <w:p>
      <w:pPr>
        <w:pBdr>
          <w:bottom w:val="single" w:color="C9A84C" w:sz="8" w:space="1"/>
        </w:pBdr>
        <w:spacing w:after="120" w:before="120"/>
      </w:pPr>
      <w:r>
        <w:t xml:space="preserve"/>
      </w:r>
    </w:p>
    <w:p>
      <w:pPr>
        <w:spacing w:after="320" w:before="80" w:line="300"/>
        <w:jc w:val="left"/>
      </w:pPr>
      <w:r>
        <w:rPr>
          <w:rFonts w:ascii="Arial" w:cs="Arial" w:eastAsia="Arial" w:hAnsi="Arial"/>
          <w:color w:val="0A1628"/>
          <w:sz w:val="22"/>
          <w:szCs w:val="22"/>
        </w:rPr>
        <w:t xml:space="preserve">Five differentiators that prospective clients regularly tell us shaped their decision to engage Veltrixair over alternatives.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200"/>
        <w:gridCol w:w="8880"/>
      </w:tblGrid>
      <w:tr>
        <w:tc>
          <w:tcPr>
            <w:tcW w:type="dxa" w:w="1200"/>
            <w:tcBorders>
              <w:top w:val="none" w:color="FFFFFF" w:sz="0"/>
              <w:left w:val="none" w:color="FFFFFF" w:sz="0"/>
              <w:bottom w:val="none" w:color="FFFFFF" w:sz="0"/>
              <w:right w:val="none" w:color="FFFFFF" w:sz="0"/>
            </w:tcBorders>
            <w:tcMar>
              <w:top w:type="dxa" w:w="200"/>
              <w:left w:type="dxa" w:w="0"/>
              <w:bottom w:type="dxa" w:w="200"/>
              <w:right w:type="dxa" w:w="240"/>
            </w:tcMar>
            <w:vAlign w:val="top"/>
          </w:tcPr>
          <w:p>
            <w:pPr>
              <w:spacing w:after="60" w:before="60"/>
            </w:pPr>
            <w:r>
              <w:rPr>
                <w:rFonts w:ascii="Arial" w:cs="Arial" w:eastAsia="Arial" w:hAnsi="Arial"/>
                <w:b/>
                <w:bCs/>
                <w:color w:val="C9A84C"/>
                <w:sz w:val="32"/>
                <w:szCs w:val="32"/>
              </w:rPr>
              <w:t xml:space="preserve">01</w:t>
            </w:r>
          </w:p>
        </w:tc>
        <w:tc>
          <w:tcPr>
            <w:tcW w:type="dxa" w:w="8880"/>
            <w:tcBorders>
              <w:top w:val="none" w:color="FFFFFF" w:sz="0"/>
              <w:left w:val="none" w:color="FFFFFF" w:sz="0"/>
              <w:bottom w:val="none" w:color="FFFFFF" w:sz="0"/>
              <w:right w:val="none" w:color="FFFFFF" w:sz="0"/>
            </w:tcBorders>
            <w:tcMar>
              <w:top w:type="dxa" w:w="200"/>
              <w:left w:type="dxa" w:w="0"/>
              <w:bottom w:type="dxa" w:w="200"/>
              <w:right w:type="dxa" w:w="0"/>
            </w:tcMar>
            <w:vAlign w:val="top"/>
          </w:tcPr>
          <w:p>
            <w:pPr>
              <w:spacing w:after="60" w:before="120"/>
            </w:pPr>
            <w:r>
              <w:rPr>
                <w:rFonts w:ascii="Arial" w:cs="Arial" w:eastAsia="Arial" w:hAnsi="Arial"/>
                <w:b/>
                <w:bCs/>
                <w:color w:val="0A1628"/>
                <w:sz w:val="20"/>
                <w:szCs w:val="20"/>
              </w:rPr>
              <w:t xml:space="preserve">Practitioner-led, not pyramid-led</w:t>
            </w:r>
          </w:p>
          <w:p>
            <w:pPr>
              <w:spacing w:after="0" w:before="0" w:line="300"/>
              <w:jc w:val="left"/>
            </w:pPr>
            <w:r>
              <w:rPr>
                <w:rFonts w:ascii="Arial" w:cs="Arial" w:eastAsia="Arial" w:hAnsi="Arial"/>
                <w:color w:val="3B4A63"/>
                <w:sz w:val="18"/>
                <w:szCs w:val="18"/>
              </w:rPr>
              <w:t xml:space="preserve">Senior architects and advisors are present on the engagement — not relegated to sales presentations. Decisions get made close to the work, by people who can also build it.</w:t>
            </w:r>
          </w:p>
        </w:tc>
      </w:tr>
      <w:tr>
        <w:tc>
          <w:tcPr>
            <w:tcW w:type="dxa" w:w="1200"/>
            <w:tcBorders>
              <w:top w:val="none" w:color="FFFFFF" w:sz="0"/>
              <w:left w:val="none" w:color="FFFFFF" w:sz="0"/>
              <w:bottom w:val="none" w:color="FFFFFF" w:sz="0"/>
              <w:right w:val="none" w:color="FFFFFF" w:sz="0"/>
            </w:tcBorders>
            <w:tcMar>
              <w:top w:type="dxa" w:w="200"/>
              <w:left w:type="dxa" w:w="0"/>
              <w:bottom w:type="dxa" w:w="200"/>
              <w:right w:type="dxa" w:w="240"/>
            </w:tcMar>
            <w:vAlign w:val="top"/>
          </w:tcPr>
          <w:p>
            <w:pPr>
              <w:spacing w:after="60" w:before="60"/>
            </w:pPr>
            <w:r>
              <w:rPr>
                <w:rFonts w:ascii="Arial" w:cs="Arial" w:eastAsia="Arial" w:hAnsi="Arial"/>
                <w:b/>
                <w:bCs/>
                <w:color w:val="C9A84C"/>
                <w:sz w:val="32"/>
                <w:szCs w:val="32"/>
              </w:rPr>
              <w:t xml:space="preserve">02</w:t>
            </w:r>
          </w:p>
        </w:tc>
        <w:tc>
          <w:tcPr>
            <w:tcW w:type="dxa" w:w="8880"/>
            <w:tcBorders>
              <w:top w:val="none" w:color="FFFFFF" w:sz="0"/>
              <w:left w:val="none" w:color="FFFFFF" w:sz="0"/>
              <w:bottom w:val="none" w:color="FFFFFF" w:sz="0"/>
              <w:right w:val="none" w:color="FFFFFF" w:sz="0"/>
            </w:tcBorders>
            <w:tcMar>
              <w:top w:type="dxa" w:w="200"/>
              <w:left w:type="dxa" w:w="0"/>
              <w:bottom w:type="dxa" w:w="200"/>
              <w:right w:type="dxa" w:w="0"/>
            </w:tcMar>
            <w:vAlign w:val="top"/>
          </w:tcPr>
          <w:p>
            <w:pPr>
              <w:spacing w:after="60" w:before="120"/>
            </w:pPr>
            <w:r>
              <w:rPr>
                <w:rFonts w:ascii="Arial" w:cs="Arial" w:eastAsia="Arial" w:hAnsi="Arial"/>
                <w:b/>
                <w:bCs/>
                <w:color w:val="0A1628"/>
                <w:sz w:val="20"/>
                <w:szCs w:val="20"/>
              </w:rPr>
              <w:t xml:space="preserve">Sovereign-aware delivery built in, not bolted on</w:t>
            </w:r>
          </w:p>
          <w:p>
            <w:pPr>
              <w:spacing w:after="0" w:before="0" w:line="300"/>
              <w:jc w:val="left"/>
            </w:pPr>
            <w:r>
              <w:rPr>
                <w:rFonts w:ascii="Arial" w:cs="Arial" w:eastAsia="Arial" w:hAnsi="Arial"/>
                <w:color w:val="3B4A63"/>
                <w:sz w:val="18"/>
                <w:szCs w:val="18"/>
              </w:rPr>
              <w:t xml:space="preserve">Data residency, sovereign cloud regions, and cross-border transfer instruments are part of the architecture from day one — not retrofitted three weeks before the regulator visits.</w:t>
            </w:r>
          </w:p>
        </w:tc>
      </w:tr>
      <w:tr>
        <w:tc>
          <w:tcPr>
            <w:tcW w:type="dxa" w:w="1200"/>
            <w:tcBorders>
              <w:top w:val="none" w:color="FFFFFF" w:sz="0"/>
              <w:left w:val="none" w:color="FFFFFF" w:sz="0"/>
              <w:bottom w:val="none" w:color="FFFFFF" w:sz="0"/>
              <w:right w:val="none" w:color="FFFFFF" w:sz="0"/>
            </w:tcBorders>
            <w:tcMar>
              <w:top w:type="dxa" w:w="200"/>
              <w:left w:type="dxa" w:w="0"/>
              <w:bottom w:type="dxa" w:w="200"/>
              <w:right w:type="dxa" w:w="240"/>
            </w:tcMar>
            <w:vAlign w:val="top"/>
          </w:tcPr>
          <w:p>
            <w:pPr>
              <w:spacing w:after="60" w:before="60"/>
            </w:pPr>
            <w:r>
              <w:rPr>
                <w:rFonts w:ascii="Arial" w:cs="Arial" w:eastAsia="Arial" w:hAnsi="Arial"/>
                <w:b/>
                <w:bCs/>
                <w:color w:val="C9A84C"/>
                <w:sz w:val="32"/>
                <w:szCs w:val="32"/>
              </w:rPr>
              <w:t xml:space="preserve">03</w:t>
            </w:r>
          </w:p>
        </w:tc>
        <w:tc>
          <w:tcPr>
            <w:tcW w:type="dxa" w:w="8880"/>
            <w:tcBorders>
              <w:top w:val="none" w:color="FFFFFF" w:sz="0"/>
              <w:left w:val="none" w:color="FFFFFF" w:sz="0"/>
              <w:bottom w:val="none" w:color="FFFFFF" w:sz="0"/>
              <w:right w:val="none" w:color="FFFFFF" w:sz="0"/>
            </w:tcBorders>
            <w:tcMar>
              <w:top w:type="dxa" w:w="200"/>
              <w:left w:type="dxa" w:w="0"/>
              <w:bottom w:type="dxa" w:w="200"/>
              <w:right w:type="dxa" w:w="0"/>
            </w:tcMar>
            <w:vAlign w:val="top"/>
          </w:tcPr>
          <w:p>
            <w:pPr>
              <w:spacing w:after="60" w:before="120"/>
            </w:pPr>
            <w:r>
              <w:rPr>
                <w:rFonts w:ascii="Arial" w:cs="Arial" w:eastAsia="Arial" w:hAnsi="Arial"/>
                <w:b/>
                <w:bCs/>
                <w:color w:val="0A1628"/>
                <w:sz w:val="20"/>
                <w:szCs w:val="20"/>
              </w:rPr>
              <w:t xml:space="preserve">Audit-grade governance accumulated as work happens</w:t>
            </w:r>
          </w:p>
          <w:p>
            <w:pPr>
              <w:spacing w:after="0" w:before="0" w:line="300"/>
              <w:jc w:val="left"/>
            </w:pPr>
            <w:r>
              <w:rPr>
                <w:rFonts w:ascii="Arial" w:cs="Arial" w:eastAsia="Arial" w:hAnsi="Arial"/>
                <w:color w:val="3B4A63"/>
                <w:sz w:val="18"/>
                <w:szCs w:val="18"/>
              </w:rPr>
              <w:t xml:space="preserve">Documentation, controls evidence, and decision records are populated continuously through delivery — not reconstructed at audit. Clients pass first-time when audit arrives.</w:t>
            </w:r>
          </w:p>
        </w:tc>
      </w:tr>
      <w:tr>
        <w:tc>
          <w:tcPr>
            <w:tcW w:type="dxa" w:w="1200"/>
            <w:tcBorders>
              <w:top w:val="none" w:color="FFFFFF" w:sz="0"/>
              <w:left w:val="none" w:color="FFFFFF" w:sz="0"/>
              <w:bottom w:val="none" w:color="FFFFFF" w:sz="0"/>
              <w:right w:val="none" w:color="FFFFFF" w:sz="0"/>
            </w:tcBorders>
            <w:tcMar>
              <w:top w:type="dxa" w:w="200"/>
              <w:left w:type="dxa" w:w="0"/>
              <w:bottom w:type="dxa" w:w="200"/>
              <w:right w:type="dxa" w:w="240"/>
            </w:tcMar>
            <w:vAlign w:val="top"/>
          </w:tcPr>
          <w:p>
            <w:pPr>
              <w:spacing w:after="60" w:before="60"/>
            </w:pPr>
            <w:r>
              <w:rPr>
                <w:rFonts w:ascii="Arial" w:cs="Arial" w:eastAsia="Arial" w:hAnsi="Arial"/>
                <w:b/>
                <w:bCs/>
                <w:color w:val="C9A84C"/>
                <w:sz w:val="32"/>
                <w:szCs w:val="32"/>
              </w:rPr>
              <w:t xml:space="preserve">04</w:t>
            </w:r>
          </w:p>
        </w:tc>
        <w:tc>
          <w:tcPr>
            <w:tcW w:type="dxa" w:w="8880"/>
            <w:tcBorders>
              <w:top w:val="none" w:color="FFFFFF" w:sz="0"/>
              <w:left w:val="none" w:color="FFFFFF" w:sz="0"/>
              <w:bottom w:val="none" w:color="FFFFFF" w:sz="0"/>
              <w:right w:val="none" w:color="FFFFFF" w:sz="0"/>
            </w:tcBorders>
            <w:tcMar>
              <w:top w:type="dxa" w:w="200"/>
              <w:left w:type="dxa" w:w="0"/>
              <w:bottom w:type="dxa" w:w="200"/>
              <w:right w:type="dxa" w:w="0"/>
            </w:tcMar>
            <w:vAlign w:val="top"/>
          </w:tcPr>
          <w:p>
            <w:pPr>
              <w:spacing w:after="60" w:before="120"/>
            </w:pPr>
            <w:r>
              <w:rPr>
                <w:rFonts w:ascii="Arial" w:cs="Arial" w:eastAsia="Arial" w:hAnsi="Arial"/>
                <w:b/>
                <w:bCs/>
                <w:color w:val="0A1628"/>
                <w:sz w:val="20"/>
                <w:szCs w:val="20"/>
              </w:rPr>
              <w:t xml:space="preserve">Multi-jurisdictional fluency, not just multi-jurisdictional offices</w:t>
            </w:r>
          </w:p>
          <w:p>
            <w:pPr>
              <w:spacing w:after="0" w:before="0" w:line="300"/>
              <w:jc w:val="left"/>
            </w:pPr>
            <w:r>
              <w:rPr>
                <w:rFonts w:ascii="Arial" w:cs="Arial" w:eastAsia="Arial" w:hAnsi="Arial"/>
                <w:color w:val="3B4A63"/>
                <w:sz w:val="18"/>
                <w:szCs w:val="18"/>
              </w:rPr>
              <w:t xml:space="preserve">Practitioners credentialed in PDPL, DPDP, GDPR, and the major sectoral regimes — speaking to regulators in their own vocabulary, in Arabic, English, or Hindi as the room requires.</w:t>
            </w:r>
          </w:p>
        </w:tc>
      </w:tr>
      <w:tr>
        <w:tc>
          <w:tcPr>
            <w:tcW w:type="dxa" w:w="1200"/>
            <w:tcBorders>
              <w:top w:val="none" w:color="FFFFFF" w:sz="0"/>
              <w:left w:val="none" w:color="FFFFFF" w:sz="0"/>
              <w:bottom w:val="none" w:color="FFFFFF" w:sz="0"/>
              <w:right w:val="none" w:color="FFFFFF" w:sz="0"/>
            </w:tcBorders>
            <w:tcMar>
              <w:top w:type="dxa" w:w="200"/>
              <w:left w:type="dxa" w:w="0"/>
              <w:bottom w:type="dxa" w:w="200"/>
              <w:right w:type="dxa" w:w="240"/>
            </w:tcMar>
            <w:vAlign w:val="top"/>
          </w:tcPr>
          <w:p>
            <w:pPr>
              <w:spacing w:after="60" w:before="60"/>
            </w:pPr>
            <w:r>
              <w:rPr>
                <w:rFonts w:ascii="Arial" w:cs="Arial" w:eastAsia="Arial" w:hAnsi="Arial"/>
                <w:b/>
                <w:bCs/>
                <w:color w:val="C9A84C"/>
                <w:sz w:val="32"/>
                <w:szCs w:val="32"/>
              </w:rPr>
              <w:t xml:space="preserve">05</w:t>
            </w:r>
          </w:p>
        </w:tc>
        <w:tc>
          <w:tcPr>
            <w:tcW w:type="dxa" w:w="8880"/>
            <w:tcBorders>
              <w:top w:val="none" w:color="FFFFFF" w:sz="0"/>
              <w:left w:val="none" w:color="FFFFFF" w:sz="0"/>
              <w:bottom w:val="none" w:color="FFFFFF" w:sz="0"/>
              <w:right w:val="none" w:color="FFFFFF" w:sz="0"/>
            </w:tcBorders>
            <w:tcMar>
              <w:top w:type="dxa" w:w="200"/>
              <w:left w:type="dxa" w:w="0"/>
              <w:bottom w:type="dxa" w:w="200"/>
              <w:right w:type="dxa" w:w="0"/>
            </w:tcMar>
            <w:vAlign w:val="top"/>
          </w:tcPr>
          <w:p>
            <w:pPr>
              <w:spacing w:after="60" w:before="120"/>
            </w:pPr>
            <w:r>
              <w:rPr>
                <w:rFonts w:ascii="Arial" w:cs="Arial" w:eastAsia="Arial" w:hAnsi="Arial"/>
                <w:b/>
                <w:bCs/>
                <w:color w:val="0A1628"/>
                <w:sz w:val="20"/>
                <w:szCs w:val="20"/>
              </w:rPr>
              <w:t xml:space="preserve">Engagements designed to compound</w:t>
            </w:r>
          </w:p>
          <w:p>
            <w:pPr>
              <w:spacing w:after="0" w:before="0" w:line="300"/>
              <w:jc w:val="left"/>
            </w:pPr>
            <w:r>
              <w:rPr>
                <w:rFonts w:ascii="Arial" w:cs="Arial" w:eastAsia="Arial" w:hAnsi="Arial"/>
                <w:color w:val="3B4A63"/>
                <w:sz w:val="18"/>
                <w:szCs w:val="18"/>
              </w:rPr>
              <w:t xml:space="preserve">Quarterly business reviews, KPI baselines, and post-engagement learning loops mean every project teaches the next. Capability that appreciates over a decade rather than depreciating in two years.</w:t>
            </w:r>
          </w:p>
        </w:tc>
      </w:tr>
    </w:tbl>
    <w:p>
      <w:pPr>
        <w:spacing w:after="40" w:before="0"/>
      </w:pPr>
      <w:r>
        <w:rPr>
          <w:rFonts w:ascii="Arial" w:cs="Arial" w:eastAsia="Arial" w:hAnsi="Arial"/>
          <w:b/>
          <w:bCs/>
          <w:color w:val="C9A84C"/>
          <w:spacing w:val="30"/>
          <w:sz w:val="16"/>
          <w:szCs w:val="16"/>
        </w:rPr>
        <w:t xml:space="preserve">/ 11</w:t>
      </w:r>
    </w:p>
    <w:p>
      <w:pPr>
        <w:pStyle w:val="Heading1"/>
        <w:pageBreakBefore/>
        <w:spacing w:after="240" w:before="480"/>
      </w:pPr>
      <w:r>
        <w:rPr>
          <w:rFonts w:ascii="Arial" w:cs="Arial" w:eastAsia="Arial" w:hAnsi="Arial"/>
          <w:b/>
          <w:bCs/>
          <w:color w:val="0A1628"/>
          <w:sz w:val="36"/>
          <w:szCs w:val="36"/>
        </w:rPr>
        <w:t xml:space="preserve">How to Engage</w:t>
      </w:r>
    </w:p>
    <w:p>
      <w:pPr>
        <w:pBdr>
          <w:bottom w:val="single" w:color="C9A84C" w:sz="8" w:space="1"/>
        </w:pBdr>
        <w:spacing w:after="120" w:before="120"/>
      </w:pPr>
      <w:r>
        <w:t xml:space="preserve"/>
      </w:r>
    </w:p>
    <w:p>
      <w:pPr>
        <w:spacing w:after="320" w:before="80" w:line="300"/>
        <w:jc w:val="left"/>
      </w:pPr>
      <w:r>
        <w:rPr>
          <w:rFonts w:ascii="Arial" w:cs="Arial" w:eastAsia="Arial" w:hAnsi="Arial"/>
          <w:color w:val="0A1628"/>
          <w:sz w:val="22"/>
          <w:szCs w:val="22"/>
        </w:rPr>
        <w:t xml:space="preserve">Three deliberate channels exist to begin a conversation with us, each scoped to the maturity of your enquiry. Use the one that fits your stage.</w:t>
      </w:r>
    </w:p>
    <w:p>
      <w:pPr>
        <w:pStyle w:val="Heading2"/>
        <w:spacing w:after="120" w:before="320"/>
      </w:pPr>
      <w:r>
        <w:rPr>
          <w:rFonts w:ascii="Arial" w:cs="Arial" w:eastAsia="Arial" w:hAnsi="Arial"/>
          <w:b/>
          <w:bCs/>
          <w:color w:val="0A1628"/>
          <w:sz w:val="24"/>
          <w:szCs w:val="24"/>
        </w:rPr>
        <w:t xml:space="preserve">Engagement Channels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360"/>
        <w:gridCol w:w="3360"/>
        <w:gridCol w:w="3360"/>
      </w:tblGrid>
      <w:tr>
        <w:tc>
          <w:tcPr>
            <w:tcW w:type="dxa" w:w="3360"/>
            <w:tcBorders>
              <w:top w:val="single" w:color="D6D9DE" w:sz="4"/>
              <w:left w:val="single" w:color="D6D9DE" w:sz="4"/>
              <w:bottom w:val="single" w:color="D6D9DE" w:sz="4"/>
              <w:right w:val="single" w:color="D6D9DE" w:sz="4"/>
            </w:tcBorders>
            <w:tcMar>
              <w:top w:type="dxa" w:w="200"/>
              <w:left w:type="dxa" w:w="200"/>
              <w:bottom w:type="dxa" w:w="200"/>
              <w:right w:type="dxa" w:w="200"/>
            </w:tcMar>
            <w:vAlign w:val="top"/>
          </w:tcPr>
          <w:p>
            <w:pPr>
              <w:spacing w:after="60" w:before="0"/>
            </w:pPr>
            <w:r>
              <w:rPr>
                <w:rFonts w:ascii="Arial" w:cs="Arial" w:eastAsia="Arial" w:hAnsi="Arial"/>
                <w:b/>
                <w:bCs/>
                <w:color w:val="C9A84C"/>
                <w:spacing w:val="25"/>
                <w:sz w:val="14"/>
                <w:szCs w:val="14"/>
              </w:rPr>
              <w:t xml:space="preserve">CHANNEL 01</w:t>
            </w:r>
          </w:p>
          <w:p>
            <w:pPr>
              <w:spacing w:after="60" w:before="120"/>
            </w:pPr>
            <w:r>
              <w:rPr>
                <w:rFonts w:ascii="Arial" w:cs="Arial" w:eastAsia="Arial" w:hAnsi="Arial"/>
                <w:b/>
                <w:bCs/>
                <w:color w:val="0A1628"/>
                <w:sz w:val="20"/>
                <w:szCs w:val="20"/>
              </w:rPr>
              <w:t xml:space="preserve">Discovery Call</w:t>
            </w:r>
          </w:p>
          <w:p>
            <w:pPr>
              <w:spacing w:after="120" w:before="0" w:line="300"/>
              <w:jc w:val="left"/>
            </w:pPr>
            <w:r>
              <w:rPr>
                <w:rFonts w:ascii="Arial" w:cs="Arial" w:eastAsia="Arial" w:hAnsi="Arial"/>
                <w:color w:val="3B4A63"/>
                <w:sz w:val="16"/>
                <w:szCs w:val="16"/>
              </w:rPr>
              <w:t xml:space="preserve">A 20–30 minute conversation with a sales consultant. Best for early-stage exploration, service-fit discussion, and indicative engagement shape.</w:t>
            </w:r>
          </w:p>
          <w:p>
            <w:pPr>
              <w:spacing w:after="0" w:before="0" w:line="300"/>
              <w:jc w:val="left"/>
            </w:pPr>
            <w:r>
              <w:rPr>
                <w:rFonts w:ascii="Arial" w:cs="Arial" w:eastAsia="Arial" w:hAnsi="Arial"/>
                <w:b/>
                <w:bCs/>
                <w:color w:val="6E7A91"/>
                <w:sz w:val="14"/>
                <w:szCs w:val="14"/>
              </w:rPr>
              <w:t xml:space="preserve">Web · </w:t>
            </w:r>
            <w:r>
              <w:rPr>
                <w:rFonts w:ascii="Arial" w:cs="Arial" w:eastAsia="Arial" w:hAnsi="Arial"/>
                <w:b/>
                <w:bCs/>
                <w:color w:val="003B8E"/>
                <w:sz w:val="14"/>
                <w:szCs w:val="14"/>
              </w:rPr>
              <w:t xml:space="preserve">veltrixair.com/request-discovery-call</w:t>
            </w:r>
          </w:p>
        </w:tc>
        <w:tc>
          <w:tcPr>
            <w:tcW w:type="dxa" w:w="3360"/>
            <w:tcBorders>
              <w:top w:val="single" w:color="D6D9DE" w:sz="4"/>
              <w:left w:val="single" w:color="D6D9DE" w:sz="4"/>
              <w:bottom w:val="single" w:color="D6D9DE" w:sz="4"/>
              <w:right w:val="single" w:color="D6D9DE" w:sz="4"/>
            </w:tcBorders>
            <w:shd w:fill="F4F1E8" w:val="clear"/>
            <w:tcMar>
              <w:top w:type="dxa" w:w="200"/>
              <w:left w:type="dxa" w:w="200"/>
              <w:bottom w:type="dxa" w:w="200"/>
              <w:right w:type="dxa" w:w="200"/>
            </w:tcMar>
            <w:vAlign w:val="top"/>
          </w:tcPr>
          <w:p>
            <w:pPr>
              <w:spacing w:after="60" w:before="0"/>
            </w:pPr>
            <w:r>
              <w:rPr>
                <w:rFonts w:ascii="Arial" w:cs="Arial" w:eastAsia="Arial" w:hAnsi="Arial"/>
                <w:b/>
                <w:bCs/>
                <w:color w:val="C9A84C"/>
                <w:spacing w:val="25"/>
                <w:sz w:val="14"/>
                <w:szCs w:val="14"/>
              </w:rPr>
              <w:t xml:space="preserve">CHANNEL 02</w:t>
            </w:r>
          </w:p>
          <w:p>
            <w:pPr>
              <w:spacing w:after="60" w:before="120"/>
            </w:pPr>
            <w:r>
              <w:rPr>
                <w:rFonts w:ascii="Arial" w:cs="Arial" w:eastAsia="Arial" w:hAnsi="Arial"/>
                <w:b/>
                <w:bCs/>
                <w:color w:val="0A1628"/>
                <w:sz w:val="20"/>
                <w:szCs w:val="20"/>
              </w:rPr>
              <w:t xml:space="preserve">Architect Session</w:t>
            </w:r>
          </w:p>
          <w:p>
            <w:pPr>
              <w:spacing w:after="120" w:before="0" w:line="300"/>
              <w:jc w:val="left"/>
            </w:pPr>
            <w:r>
              <w:rPr>
                <w:rFonts w:ascii="Arial" w:cs="Arial" w:eastAsia="Arial" w:hAnsi="Arial"/>
                <w:color w:val="3B4A63"/>
                <w:sz w:val="16"/>
                <w:szCs w:val="16"/>
              </w:rPr>
              <w:t xml:space="preserve">A structured 45-minute conversation with a senior architect. Best for working architecture conversations on a named programme. Always complimentary.</w:t>
            </w:r>
          </w:p>
          <w:p>
            <w:pPr>
              <w:spacing w:after="0" w:before="0" w:line="300"/>
              <w:jc w:val="left"/>
            </w:pPr>
            <w:r>
              <w:rPr>
                <w:rFonts w:ascii="Arial" w:cs="Arial" w:eastAsia="Arial" w:hAnsi="Arial"/>
                <w:b/>
                <w:bCs/>
                <w:color w:val="6E7A91"/>
                <w:sz w:val="14"/>
                <w:szCs w:val="14"/>
              </w:rPr>
              <w:t xml:space="preserve">Web · </w:t>
            </w:r>
            <w:r>
              <w:rPr>
                <w:rFonts w:ascii="Arial" w:cs="Arial" w:eastAsia="Arial" w:hAnsi="Arial"/>
                <w:b/>
                <w:bCs/>
                <w:color w:val="003B8E"/>
                <w:sz w:val="14"/>
                <w:szCs w:val="14"/>
              </w:rPr>
              <w:t xml:space="preserve">veltrixair.com/talk-to-architect</w:t>
            </w:r>
          </w:p>
        </w:tc>
        <w:tc>
          <w:tcPr>
            <w:tcW w:type="dxa" w:w="3360"/>
            <w:tcBorders>
              <w:top w:val="single" w:color="D6D9DE" w:sz="4"/>
              <w:left w:val="single" w:color="D6D9DE" w:sz="4"/>
              <w:bottom w:val="single" w:color="D6D9DE" w:sz="4"/>
              <w:right w:val="single" w:color="D6D9DE" w:sz="4"/>
            </w:tcBorders>
            <w:tcMar>
              <w:top w:type="dxa" w:w="200"/>
              <w:left w:type="dxa" w:w="200"/>
              <w:bottom w:type="dxa" w:w="200"/>
              <w:right w:type="dxa" w:w="200"/>
            </w:tcMar>
            <w:vAlign w:val="top"/>
          </w:tcPr>
          <w:p>
            <w:pPr>
              <w:spacing w:after="60" w:before="0"/>
            </w:pPr>
            <w:r>
              <w:rPr>
                <w:rFonts w:ascii="Arial" w:cs="Arial" w:eastAsia="Arial" w:hAnsi="Arial"/>
                <w:b/>
                <w:bCs/>
                <w:color w:val="C9A84C"/>
                <w:spacing w:val="25"/>
                <w:sz w:val="14"/>
                <w:szCs w:val="14"/>
              </w:rPr>
              <w:t xml:space="preserve">CHANNEL 03</w:t>
            </w:r>
          </w:p>
          <w:p>
            <w:pPr>
              <w:spacing w:after="60" w:before="120"/>
            </w:pPr>
            <w:r>
              <w:rPr>
                <w:rFonts w:ascii="Arial" w:cs="Arial" w:eastAsia="Arial" w:hAnsi="Arial"/>
                <w:b/>
                <w:bCs/>
                <w:color w:val="0A1628"/>
                <w:sz w:val="20"/>
                <w:szCs w:val="20"/>
              </w:rPr>
              <w:t xml:space="preserve">RFP / Procurement</w:t>
            </w:r>
          </w:p>
          <w:p>
            <w:pPr>
              <w:spacing w:after="120" w:before="0" w:line="300"/>
              <w:jc w:val="left"/>
            </w:pPr>
            <w:r>
              <w:rPr>
                <w:rFonts w:ascii="Arial" w:cs="Arial" w:eastAsia="Arial" w:hAnsi="Arial"/>
                <w:color w:val="3B4A63"/>
                <w:sz w:val="16"/>
                <w:szCs w:val="16"/>
              </w:rPr>
              <w:t xml:space="preserve">Standard RFP and procurement enquiries. Vendor registration, qualification documents, and structured tender responses handled by our commercial team.</w:t>
            </w:r>
          </w:p>
          <w:p>
            <w:pPr>
              <w:spacing w:after="0" w:before="0" w:line="300"/>
              <w:jc w:val="left"/>
            </w:pPr>
            <w:r>
              <w:rPr>
                <w:rFonts w:ascii="Arial" w:cs="Arial" w:eastAsia="Arial" w:hAnsi="Arial"/>
                <w:b/>
                <w:bCs/>
                <w:color w:val="6E7A91"/>
                <w:sz w:val="14"/>
                <w:szCs w:val="14"/>
              </w:rPr>
              <w:t xml:space="preserve">Email · </w:t>
            </w:r>
            <w:r>
              <w:rPr>
                <w:rFonts w:ascii="Arial" w:cs="Arial" w:eastAsia="Arial" w:hAnsi="Arial"/>
                <w:b/>
                <w:bCs/>
                <w:color w:val="003B8E"/>
                <w:sz w:val="14"/>
                <w:szCs w:val="14"/>
              </w:rPr>
              <w:t xml:space="preserve">rfp@veltrixair.com</w:t>
            </w:r>
          </w:p>
        </w:tc>
      </w:tr>
    </w:tbl>
    <w:p>
      <w:pPr>
        <w:pStyle w:val="Heading2"/>
        <w:spacing w:after="120" w:before="320"/>
      </w:pPr>
      <w:r>
        <w:rPr>
          <w:rFonts w:ascii="Arial" w:cs="Arial" w:eastAsia="Arial" w:hAnsi="Arial"/>
          <w:b/>
          <w:bCs/>
          <w:color w:val="0A1628"/>
          <w:sz w:val="24"/>
          <w:szCs w:val="24"/>
        </w:rPr>
        <w:t xml:space="preserve">Direct Contact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360"/>
        <w:gridCol w:w="3360"/>
        <w:gridCol w:w="3360"/>
      </w:tblGrid>
      <w:tr>
        <w:tc>
          <w:tcPr>
            <w:tcW w:type="dxa" w:w="3360"/>
            <w:tcBorders>
              <w:top w:val="single" w:color="D6D9DE" w:sz="4"/>
              <w:left w:val="single" w:color="D6D9DE" w:sz="4"/>
              <w:bottom w:val="single" w:color="D6D9DE" w:sz="4"/>
              <w:right w:val="single" w:color="D6D9DE" w:sz="4"/>
            </w:tcBorders>
            <w:tcMar>
              <w:top w:type="dxa" w:w="200"/>
              <w:left w:type="dxa" w:w="200"/>
              <w:bottom w:type="dxa" w:w="200"/>
              <w:right w:type="dxa" w:w="200"/>
            </w:tcMar>
            <w:vAlign w:val="top"/>
          </w:tcPr>
          <w:p>
            <w:pPr>
              <w:spacing w:after="60" w:before="0"/>
            </w:pPr>
            <w:r>
              <w:rPr>
                <w:rFonts w:ascii="Arial" w:cs="Arial" w:eastAsia="Arial" w:hAnsi="Arial"/>
                <w:b/>
                <w:bCs/>
                <w:color w:val="003B8E"/>
                <w:spacing w:val="25"/>
                <w:sz w:val="14"/>
                <w:szCs w:val="14"/>
              </w:rPr>
              <w:t xml:space="preserve">GENERAL ENQUIRY</w:t>
            </w:r>
          </w:p>
          <w:p>
            <w:pPr>
              <w:spacing w:after="60" w:before="60"/>
            </w:pPr>
            <w:r>
              <w:rPr>
                <w:rFonts w:ascii="Arial" w:cs="Arial" w:eastAsia="Arial" w:hAnsi="Arial"/>
                <w:b/>
                <w:bCs/>
                <w:color w:val="0A1628"/>
                <w:sz w:val="20"/>
                <w:szCs w:val="20"/>
              </w:rPr>
              <w:t xml:space="preserve">contact@veltrixair.com</w:t>
            </w:r>
          </w:p>
          <w:p>
            <w:pPr>
              <w:spacing w:after="120" w:before="0" w:line="300"/>
              <w:jc w:val="left"/>
            </w:pPr>
            <w:r>
              <w:rPr>
                <w:rFonts w:ascii="Arial" w:cs="Arial" w:eastAsia="Arial" w:hAnsi="Arial"/>
                <w:color w:val="6E7A91"/>
                <w:sz w:val="14"/>
                <w:szCs w:val="14"/>
              </w:rPr>
              <w:t xml:space="preserve">All commercial enquiries route here.</w:t>
            </w:r>
          </w:p>
        </w:tc>
        <w:tc>
          <w:tcPr>
            <w:tcW w:type="dxa" w:w="3360"/>
            <w:tcBorders>
              <w:top w:val="single" w:color="D6D9DE" w:sz="4"/>
              <w:left w:val="single" w:color="D6D9DE" w:sz="4"/>
              <w:bottom w:val="single" w:color="D6D9DE" w:sz="4"/>
              <w:right w:val="single" w:color="D6D9DE" w:sz="4"/>
            </w:tcBorders>
            <w:shd w:fill="F4F1E8" w:val="clear"/>
            <w:tcMar>
              <w:top w:type="dxa" w:w="200"/>
              <w:left w:type="dxa" w:w="200"/>
              <w:bottom w:type="dxa" w:w="200"/>
              <w:right w:type="dxa" w:w="200"/>
            </w:tcMar>
            <w:vAlign w:val="top"/>
          </w:tcPr>
          <w:p>
            <w:pPr>
              <w:spacing w:after="60" w:before="0"/>
            </w:pPr>
            <w:r>
              <w:rPr>
                <w:rFonts w:ascii="Arial" w:cs="Arial" w:eastAsia="Arial" w:hAnsi="Arial"/>
                <w:b/>
                <w:bCs/>
                <w:color w:val="003B8E"/>
                <w:spacing w:val="25"/>
                <w:sz w:val="14"/>
                <w:szCs w:val="14"/>
              </w:rPr>
              <w:t xml:space="preserve">SALES TEAM</w:t>
            </w:r>
          </w:p>
          <w:p>
            <w:pPr>
              <w:spacing w:after="60" w:before="60"/>
            </w:pPr>
            <w:r>
              <w:rPr>
                <w:rFonts w:ascii="Arial" w:cs="Arial" w:eastAsia="Arial" w:hAnsi="Arial"/>
                <w:b/>
                <w:bCs/>
                <w:color w:val="0A1628"/>
                <w:sz w:val="20"/>
                <w:szCs w:val="20"/>
              </w:rPr>
              <w:t xml:space="preserve">sales@veltrixair.com</w:t>
            </w:r>
          </w:p>
          <w:p>
            <w:pPr>
              <w:spacing w:after="120" w:before="0" w:line="300"/>
              <w:jc w:val="left"/>
            </w:pPr>
            <w:r>
              <w:rPr>
                <w:rFonts w:ascii="Arial" w:cs="Arial" w:eastAsia="Arial" w:hAnsi="Arial"/>
                <w:color w:val="6E7A91"/>
                <w:sz w:val="14"/>
                <w:szCs w:val="14"/>
              </w:rPr>
              <w:t xml:space="preserve">Discovery calls and pipeline conversations.</w:t>
            </w:r>
          </w:p>
        </w:tc>
        <w:tc>
          <w:tcPr>
            <w:tcW w:type="dxa" w:w="3360"/>
            <w:tcBorders>
              <w:top w:val="single" w:color="D6D9DE" w:sz="4"/>
              <w:left w:val="single" w:color="D6D9DE" w:sz="4"/>
              <w:bottom w:val="single" w:color="D6D9DE" w:sz="4"/>
              <w:right w:val="single" w:color="D6D9DE" w:sz="4"/>
            </w:tcBorders>
            <w:tcMar>
              <w:top w:type="dxa" w:w="200"/>
              <w:left w:type="dxa" w:w="200"/>
              <w:bottom w:type="dxa" w:w="200"/>
              <w:right w:type="dxa" w:w="200"/>
            </w:tcMar>
            <w:vAlign w:val="top"/>
          </w:tcPr>
          <w:p>
            <w:pPr>
              <w:spacing w:after="60" w:before="0"/>
            </w:pPr>
            <w:r>
              <w:rPr>
                <w:rFonts w:ascii="Arial" w:cs="Arial" w:eastAsia="Arial" w:hAnsi="Arial"/>
                <w:b/>
                <w:bCs/>
                <w:color w:val="003B8E"/>
                <w:spacing w:val="25"/>
                <w:sz w:val="14"/>
                <w:szCs w:val="14"/>
              </w:rPr>
              <w:t xml:space="preserve">PRIVACY DESK</w:t>
            </w:r>
          </w:p>
          <w:p>
            <w:pPr>
              <w:spacing w:after="60" w:before="60"/>
            </w:pPr>
            <w:r>
              <w:rPr>
                <w:rFonts w:ascii="Arial" w:cs="Arial" w:eastAsia="Arial" w:hAnsi="Arial"/>
                <w:b/>
                <w:bCs/>
                <w:color w:val="0A1628"/>
                <w:sz w:val="20"/>
                <w:szCs w:val="20"/>
              </w:rPr>
              <w:t xml:space="preserve">privacy@veltrixair.com</w:t>
            </w:r>
          </w:p>
          <w:p>
            <w:pPr>
              <w:spacing w:after="120" w:before="0" w:line="300"/>
              <w:jc w:val="left"/>
            </w:pPr>
            <w:r>
              <w:rPr>
                <w:rFonts w:ascii="Arial" w:cs="Arial" w:eastAsia="Arial" w:hAnsi="Arial"/>
                <w:color w:val="6E7A91"/>
                <w:sz w:val="14"/>
                <w:szCs w:val="14"/>
              </w:rPr>
              <w:t xml:space="preserve">PDPL, DPDP, GDPR advisory enquiries.</w:t>
            </w:r>
          </w:p>
        </w:tc>
      </w:tr>
    </w:tbl>
    <w:p>
      <w:pPr>
        <w:pStyle w:val="Heading2"/>
        <w:spacing w:after="120" w:before="320"/>
      </w:pPr>
      <w:r>
        <w:rPr>
          <w:rFonts w:ascii="Arial" w:cs="Arial" w:eastAsia="Arial" w:hAnsi="Arial"/>
          <w:b/>
          <w:bCs/>
          <w:color w:val="0A1628"/>
          <w:sz w:val="24"/>
          <w:szCs w:val="24"/>
        </w:rPr>
        <w:t xml:space="preserve">Phone Lines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360"/>
        <w:gridCol w:w="3360"/>
        <w:gridCol w:w="3360"/>
      </w:tblGrid>
      <w:tr>
        <w:tc>
          <w:tcPr>
            <w:tcW w:type="dxa" w:w="3360"/>
            <w:tcBorders>
              <w:top w:val="single" w:color="D6D9DE" w:sz="4"/>
              <w:left w:val="single" w:color="D6D9DE" w:sz="4"/>
              <w:bottom w:val="single" w:color="D6D9DE" w:sz="4"/>
              <w:right w:val="single" w:color="D6D9DE" w:sz="4"/>
            </w:tcBorders>
            <w:tcMar>
              <w:top w:type="dxa" w:w="160"/>
              <w:left w:type="dxa" w:w="200"/>
              <w:bottom w:type="dxa" w:w="160"/>
              <w:right w:type="dxa" w:w="200"/>
            </w:tcMar>
            <w:vAlign w:val="top"/>
          </w:tcPr>
          <w:p>
            <w:pPr>
              <w:spacing w:after="60" w:before="0"/>
            </w:pPr>
            <w:r>
              <w:rPr>
                <w:rFonts w:ascii="Arial" w:cs="Arial" w:eastAsia="Arial" w:hAnsi="Arial"/>
                <w:b/>
                <w:bCs/>
                <w:color w:val="003B8E"/>
                <w:spacing w:val="25"/>
                <w:sz w:val="14"/>
                <w:szCs w:val="14"/>
              </w:rPr>
              <w:t xml:space="preserve">SAUDI ARABIA</w:t>
            </w:r>
          </w:p>
          <w:p>
            <w:pPr>
              <w:spacing w:after="0" w:before="60"/>
            </w:pPr>
            <w:r>
              <w:rPr>
                <w:rFonts w:ascii="Arial" w:cs="Arial" w:eastAsia="Arial" w:hAnsi="Arial"/>
                <w:b/>
                <w:bCs/>
                <w:color w:val="0A1628"/>
                <w:sz w:val="22"/>
                <w:szCs w:val="22"/>
              </w:rPr>
              <w:t xml:space="preserve">+966 11 234 5678</w:t>
            </w:r>
          </w:p>
        </w:tc>
        <w:tc>
          <w:tcPr>
            <w:tcW w:type="dxa" w:w="3360"/>
            <w:tcBorders>
              <w:top w:val="single" w:color="D6D9DE" w:sz="4"/>
              <w:left w:val="single" w:color="D6D9DE" w:sz="4"/>
              <w:bottom w:val="single" w:color="D6D9DE" w:sz="4"/>
              <w:right w:val="single" w:color="D6D9DE" w:sz="4"/>
            </w:tcBorders>
            <w:shd w:fill="F4F1E8" w:val="clear"/>
            <w:tcMar>
              <w:top w:type="dxa" w:w="160"/>
              <w:left w:type="dxa" w:w="200"/>
              <w:bottom w:type="dxa" w:w="160"/>
              <w:right w:type="dxa" w:w="200"/>
            </w:tcMar>
            <w:vAlign w:val="top"/>
          </w:tcPr>
          <w:p>
            <w:pPr>
              <w:spacing w:after="60" w:before="0"/>
            </w:pPr>
            <w:r>
              <w:rPr>
                <w:rFonts w:ascii="Arial" w:cs="Arial" w:eastAsia="Arial" w:hAnsi="Arial"/>
                <w:b/>
                <w:bCs/>
                <w:color w:val="003B8E"/>
                <w:spacing w:val="25"/>
                <w:sz w:val="14"/>
                <w:szCs w:val="14"/>
              </w:rPr>
              <w:t xml:space="preserve">UNITED ARAB EMIRATES</w:t>
            </w:r>
          </w:p>
          <w:p>
            <w:pPr>
              <w:spacing w:after="0" w:before="60"/>
            </w:pPr>
            <w:r>
              <w:rPr>
                <w:rFonts w:ascii="Arial" w:cs="Arial" w:eastAsia="Arial" w:hAnsi="Arial"/>
                <w:b/>
                <w:bCs/>
                <w:color w:val="0A1628"/>
                <w:sz w:val="22"/>
                <w:szCs w:val="22"/>
              </w:rPr>
              <w:t xml:space="preserve">+971 4 234 5678</w:t>
            </w:r>
          </w:p>
        </w:tc>
        <w:tc>
          <w:tcPr>
            <w:tcW w:type="dxa" w:w="3360"/>
            <w:tcBorders>
              <w:top w:val="single" w:color="D6D9DE" w:sz="4"/>
              <w:left w:val="single" w:color="D6D9DE" w:sz="4"/>
              <w:bottom w:val="single" w:color="D6D9DE" w:sz="4"/>
              <w:right w:val="single" w:color="D6D9DE" w:sz="4"/>
            </w:tcBorders>
            <w:tcMar>
              <w:top w:type="dxa" w:w="160"/>
              <w:left w:type="dxa" w:w="200"/>
              <w:bottom w:type="dxa" w:w="160"/>
              <w:right w:type="dxa" w:w="200"/>
            </w:tcMar>
            <w:vAlign w:val="top"/>
          </w:tcPr>
          <w:p>
            <w:pPr>
              <w:spacing w:after="60" w:before="0"/>
            </w:pPr>
            <w:r>
              <w:rPr>
                <w:rFonts w:ascii="Arial" w:cs="Arial" w:eastAsia="Arial" w:hAnsi="Arial"/>
                <w:b/>
                <w:bCs/>
                <w:color w:val="003B8E"/>
                <w:spacing w:val="25"/>
                <w:sz w:val="14"/>
                <w:szCs w:val="14"/>
              </w:rPr>
              <w:t xml:space="preserve">INDIA</w:t>
            </w:r>
          </w:p>
          <w:p>
            <w:pPr>
              <w:spacing w:after="0" w:before="60"/>
            </w:pPr>
            <w:r>
              <w:rPr>
                <w:rFonts w:ascii="Arial" w:cs="Arial" w:eastAsia="Arial" w:hAnsi="Arial"/>
                <w:b/>
                <w:bCs/>
                <w:color w:val="0A1628"/>
                <w:sz w:val="22"/>
                <w:szCs w:val="22"/>
              </w:rPr>
              <w:t xml:space="preserve">+91 22 1234 5678</w:t>
            </w:r>
          </w:p>
        </w:tc>
      </w:tr>
    </w:tbl>
    <w:p>
      <w:pPr>
        <w:spacing w:after="40" w:before="0"/>
      </w:pPr>
      <w:r>
        <w:rPr>
          <w:rFonts w:ascii="Arial" w:cs="Arial" w:eastAsia="Arial" w:hAnsi="Arial"/>
          <w:b/>
          <w:bCs/>
          <w:color w:val="C9A84C"/>
          <w:spacing w:val="30"/>
          <w:sz w:val="16"/>
          <w:szCs w:val="16"/>
        </w:rPr>
        <w:t xml:space="preserve">/ 12</w:t>
      </w:r>
    </w:p>
    <w:p>
      <w:pPr>
        <w:pStyle w:val="Heading1"/>
        <w:pageBreakBefore/>
        <w:spacing w:after="240" w:before="480"/>
      </w:pPr>
      <w:r>
        <w:rPr>
          <w:rFonts w:ascii="Arial" w:cs="Arial" w:eastAsia="Arial" w:hAnsi="Arial"/>
          <w:b/>
          <w:bCs/>
          <w:color w:val="0A1628"/>
          <w:sz w:val="36"/>
          <w:szCs w:val="36"/>
        </w:rPr>
        <w:t xml:space="preserve">Frameworks &amp; Standards Coverage</w:t>
      </w:r>
    </w:p>
    <w:p>
      <w:pPr>
        <w:pBdr>
          <w:bottom w:val="single" w:color="C9A84C" w:sz="8" w:space="1"/>
        </w:pBdr>
        <w:spacing w:after="120" w:before="120"/>
      </w:pPr>
      <w:r>
        <w:t xml:space="preserve"/>
      </w:r>
    </w:p>
    <w:p>
      <w:pPr>
        <w:spacing w:after="320" w:before="80" w:line="300"/>
        <w:jc w:val="left"/>
      </w:pPr>
      <w:r>
        <w:rPr>
          <w:rFonts w:ascii="Arial" w:cs="Arial" w:eastAsia="Arial" w:hAnsi="Arial"/>
          <w:color w:val="0A1628"/>
          <w:sz w:val="22"/>
          <w:szCs w:val="22"/>
        </w:rPr>
        <w:t xml:space="preserve">A comprehensive view of the regulatory frameworks, international standards, and sector-specific regimes our practice operates under. Our auditors, advisors, and architects work to these standards every day — not as compliance theatre, but as the operating discipline of the firm.</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000"/>
        <w:gridCol w:w="7080"/>
      </w:tblGrid>
      <w:tr>
        <w:tc>
          <w:tcPr>
            <w:tcW w:type="dxa" w:w="3000"/>
            <w:tcBorders>
              <w:top w:val="single" w:color="D6D9DE" w:sz="4"/>
              <w:left w:val="single" w:color="D6D9DE" w:sz="4"/>
              <w:bottom w:val="single" w:color="D6D9DE" w:sz="4"/>
              <w:right w:val="single" w:color="D6D9DE" w:sz="4"/>
            </w:tcBorders>
            <w:shd w:fill="0A1628" w:val="clear"/>
            <w:tcMar>
              <w:top w:type="dxa" w:w="120"/>
              <w:left w:type="dxa" w:w="200"/>
              <w:bottom w:type="dxa" w:w="120"/>
              <w:right w:type="dxa" w:w="160"/>
            </w:tcMar>
            <w:vAlign w:val="center"/>
          </w:tcPr>
          <w:p>
            <w:pPr>
              <w:spacing w:after="120" w:before="0" w:line="300"/>
              <w:jc w:val="left"/>
            </w:pPr>
            <w:r>
              <w:rPr>
                <w:rFonts w:ascii="Arial" w:cs="Arial" w:eastAsia="Arial" w:hAnsi="Arial"/>
                <w:b/>
                <w:bCs/>
                <w:color w:val="FFFFFF"/>
                <w:spacing w:val="30"/>
                <w:sz w:val="13"/>
                <w:szCs w:val="13"/>
              </w:rPr>
              <w:t xml:space="preserve">CATEGORY</w:t>
            </w:r>
          </w:p>
        </w:tc>
        <w:tc>
          <w:tcPr>
            <w:tcW w:type="dxa" w:w="7080"/>
            <w:tcBorders>
              <w:top w:val="single" w:color="D6D9DE" w:sz="4"/>
              <w:left w:val="single" w:color="D6D9DE" w:sz="4"/>
              <w:bottom w:val="single" w:color="D6D9DE" w:sz="4"/>
              <w:right w:val="single" w:color="D6D9DE" w:sz="4"/>
            </w:tcBorders>
            <w:shd w:fill="0A1628" w:val="clear"/>
            <w:tcMar>
              <w:top w:type="dxa" w:w="120"/>
              <w:left w:type="dxa" w:w="160"/>
              <w:bottom w:type="dxa" w:w="120"/>
              <w:right w:type="dxa" w:w="200"/>
            </w:tcMar>
            <w:vAlign w:val="center"/>
          </w:tcPr>
          <w:p>
            <w:pPr>
              <w:spacing w:after="120" w:before="0" w:line="300"/>
              <w:jc w:val="left"/>
            </w:pPr>
            <w:r>
              <w:rPr>
                <w:rFonts w:ascii="Arial" w:cs="Arial" w:eastAsia="Arial" w:hAnsi="Arial"/>
                <w:b/>
                <w:bCs/>
                <w:color w:val="FFFFFF"/>
                <w:spacing w:val="30"/>
                <w:sz w:val="13"/>
                <w:szCs w:val="13"/>
              </w:rPr>
              <w:t xml:space="preserve">FRAMEWORKS / STANDARDS</w:t>
            </w:r>
          </w:p>
        </w:tc>
      </w:tr>
      <w:tr>
        <w:tc>
          <w:tcPr>
            <w:tcW w:type="dxa" w:w="3000"/>
            <w:tcBorders>
              <w:top w:val="single" w:color="D6D9DE" w:sz="4"/>
              <w:left w:val="single" w:color="D6D9DE" w:sz="4"/>
              <w:bottom w:val="single" w:color="D6D9DE" w:sz="4"/>
              <w:right w:val="single" w:color="D6D9DE" w:sz="4"/>
            </w:tcBorders>
            <w:shd w:fill="FFFFFF" w:val="clear"/>
            <w:tcMar>
              <w:top w:type="dxa" w:w="90"/>
              <w:left w:type="dxa" w:w="200"/>
              <w:bottom w:type="dxa" w:w="90"/>
              <w:right w:type="dxa" w:w="160"/>
            </w:tcMar>
            <w:vAlign w:val="top"/>
          </w:tcPr>
          <w:p>
            <w:pPr>
              <w:spacing w:after="0" w:before="60"/>
            </w:pPr>
            <w:r>
              <w:rPr>
                <w:rFonts w:ascii="Arial" w:cs="Arial" w:eastAsia="Arial" w:hAnsi="Arial"/>
                <w:b/>
                <w:bCs/>
                <w:color w:val="0A1628"/>
                <w:sz w:val="17"/>
                <w:szCs w:val="17"/>
              </w:rPr>
              <w:t xml:space="preserve">Data Privacy</w:t>
            </w:r>
          </w:p>
        </w:tc>
        <w:tc>
          <w:tcPr>
            <w:tcW w:type="dxa" w:w="7080"/>
            <w:tcBorders>
              <w:top w:val="single" w:color="D6D9DE" w:sz="4"/>
              <w:left w:val="single" w:color="D6D9DE" w:sz="4"/>
              <w:bottom w:val="single" w:color="D6D9DE" w:sz="4"/>
              <w:right w:val="single" w:color="D6D9DE" w:sz="4"/>
            </w:tcBorders>
            <w:shd w:fill="FFFFFF" w:val="clear"/>
            <w:tcMar>
              <w:top w:type="dxa" w:w="90"/>
              <w:left w:type="dxa" w:w="160"/>
              <w:bottom w:type="dxa" w:w="90"/>
              <w:right w:type="dxa" w:w="200"/>
            </w:tcMar>
            <w:vAlign w:val="top"/>
          </w:tcPr>
          <w:p>
            <w:pPr>
              <w:spacing w:after="0" w:before="0" w:line="300"/>
              <w:jc w:val="left"/>
            </w:pPr>
            <w:r>
              <w:rPr>
                <w:rFonts w:ascii="Arial" w:cs="Arial" w:eastAsia="Arial" w:hAnsi="Arial"/>
                <w:color w:val="3B4A63"/>
                <w:sz w:val="14"/>
                <w:szCs w:val="14"/>
              </w:rPr>
              <w:t xml:space="preserve">KSA PDPL · India DPDP Act 2023 · GDPR · UAE Federal Decree-Law 45/2021 · UAE Federal Decree-Law 51/2024 (Child Digital Safety) · Bahrain PDPL · Qatar PDPL</w:t>
            </w:r>
          </w:p>
        </w:tc>
      </w:tr>
      <w:tr>
        <w:tc>
          <w:tcPr>
            <w:tcW w:type="dxa" w:w="3000"/>
            <w:tcBorders>
              <w:top w:val="single" w:color="D6D9DE" w:sz="4"/>
              <w:left w:val="single" w:color="D6D9DE" w:sz="4"/>
              <w:bottom w:val="single" w:color="D6D9DE" w:sz="4"/>
              <w:right w:val="single" w:color="D6D9DE" w:sz="4"/>
            </w:tcBorders>
            <w:shd w:fill="F4F1E8" w:val="clear"/>
            <w:tcMar>
              <w:top w:type="dxa" w:w="90"/>
              <w:left w:type="dxa" w:w="200"/>
              <w:bottom w:type="dxa" w:w="90"/>
              <w:right w:type="dxa" w:w="160"/>
            </w:tcMar>
            <w:vAlign w:val="top"/>
          </w:tcPr>
          <w:p>
            <w:pPr>
              <w:spacing w:after="0" w:before="60"/>
            </w:pPr>
            <w:r>
              <w:rPr>
                <w:rFonts w:ascii="Arial" w:cs="Arial" w:eastAsia="Arial" w:hAnsi="Arial"/>
                <w:b/>
                <w:bCs/>
                <w:color w:val="0A1628"/>
                <w:sz w:val="17"/>
                <w:szCs w:val="17"/>
              </w:rPr>
              <w:t xml:space="preserve">Cybersecurity</w:t>
            </w:r>
          </w:p>
        </w:tc>
        <w:tc>
          <w:tcPr>
            <w:tcW w:type="dxa" w:w="7080"/>
            <w:tcBorders>
              <w:top w:val="single" w:color="D6D9DE" w:sz="4"/>
              <w:left w:val="single" w:color="D6D9DE" w:sz="4"/>
              <w:bottom w:val="single" w:color="D6D9DE" w:sz="4"/>
              <w:right w:val="single" w:color="D6D9DE" w:sz="4"/>
            </w:tcBorders>
            <w:shd w:fill="F4F1E8" w:val="clear"/>
            <w:tcMar>
              <w:top w:type="dxa" w:w="90"/>
              <w:left w:type="dxa" w:w="160"/>
              <w:bottom w:type="dxa" w:w="90"/>
              <w:right w:type="dxa" w:w="200"/>
            </w:tcMar>
            <w:vAlign w:val="top"/>
          </w:tcPr>
          <w:p>
            <w:pPr>
              <w:spacing w:after="0" w:before="0" w:line="300"/>
              <w:jc w:val="left"/>
            </w:pPr>
            <w:r>
              <w:rPr>
                <w:rFonts w:ascii="Arial" w:cs="Arial" w:eastAsia="Arial" w:hAnsi="Arial"/>
                <w:color w:val="3B4A63"/>
                <w:sz w:val="14"/>
                <w:szCs w:val="14"/>
              </w:rPr>
              <w:t xml:space="preserve">ISO 27001:2022 · ISO 27002 · NIST CSF · NIST SP 800-53 · CIS Controls v8 · MITRE ATT&amp;CK</w:t>
            </w:r>
          </w:p>
        </w:tc>
      </w:tr>
      <w:tr>
        <w:tc>
          <w:tcPr>
            <w:tcW w:type="dxa" w:w="3000"/>
            <w:tcBorders>
              <w:top w:val="single" w:color="D6D9DE" w:sz="4"/>
              <w:left w:val="single" w:color="D6D9DE" w:sz="4"/>
              <w:bottom w:val="single" w:color="D6D9DE" w:sz="4"/>
              <w:right w:val="single" w:color="D6D9DE" w:sz="4"/>
            </w:tcBorders>
            <w:shd w:fill="FFFFFF" w:val="clear"/>
            <w:tcMar>
              <w:top w:type="dxa" w:w="90"/>
              <w:left w:type="dxa" w:w="200"/>
              <w:bottom w:type="dxa" w:w="90"/>
              <w:right w:type="dxa" w:w="160"/>
            </w:tcMar>
            <w:vAlign w:val="top"/>
          </w:tcPr>
          <w:p>
            <w:pPr>
              <w:spacing w:after="0" w:before="60"/>
            </w:pPr>
            <w:r>
              <w:rPr>
                <w:rFonts w:ascii="Arial" w:cs="Arial" w:eastAsia="Arial" w:hAnsi="Arial"/>
                <w:b/>
                <w:bCs/>
                <w:color w:val="0A1628"/>
                <w:sz w:val="17"/>
                <w:szCs w:val="17"/>
              </w:rPr>
              <w:t xml:space="preserve">KSA Sectoral</w:t>
            </w:r>
          </w:p>
        </w:tc>
        <w:tc>
          <w:tcPr>
            <w:tcW w:type="dxa" w:w="7080"/>
            <w:tcBorders>
              <w:top w:val="single" w:color="D6D9DE" w:sz="4"/>
              <w:left w:val="single" w:color="D6D9DE" w:sz="4"/>
              <w:bottom w:val="single" w:color="D6D9DE" w:sz="4"/>
              <w:right w:val="single" w:color="D6D9DE" w:sz="4"/>
            </w:tcBorders>
            <w:shd w:fill="FFFFFF" w:val="clear"/>
            <w:tcMar>
              <w:top w:type="dxa" w:w="90"/>
              <w:left w:type="dxa" w:w="160"/>
              <w:bottom w:type="dxa" w:w="90"/>
              <w:right w:type="dxa" w:w="200"/>
            </w:tcMar>
            <w:vAlign w:val="top"/>
          </w:tcPr>
          <w:p>
            <w:pPr>
              <w:spacing w:after="0" w:before="0" w:line="300"/>
              <w:jc w:val="left"/>
            </w:pPr>
            <w:r>
              <w:rPr>
                <w:rFonts w:ascii="Arial" w:cs="Arial" w:eastAsia="Arial" w:hAnsi="Arial"/>
                <w:color w:val="3B4A63"/>
                <w:sz w:val="14"/>
                <w:szCs w:val="14"/>
              </w:rPr>
              <w:t xml:space="preserve">SAMA Cyber Security Framework v1.1 · SAMA Business Continuity Management · NCA Essential Cybersecurity Controls · NCA Critical Systems Cybersecurity Controls · NCA Operational Technology Cybersecurity Framework</w:t>
            </w:r>
          </w:p>
        </w:tc>
      </w:tr>
      <w:tr>
        <w:tc>
          <w:tcPr>
            <w:tcW w:type="dxa" w:w="3000"/>
            <w:tcBorders>
              <w:top w:val="single" w:color="D6D9DE" w:sz="4"/>
              <w:left w:val="single" w:color="D6D9DE" w:sz="4"/>
              <w:bottom w:val="single" w:color="D6D9DE" w:sz="4"/>
              <w:right w:val="single" w:color="D6D9DE" w:sz="4"/>
            </w:tcBorders>
            <w:shd w:fill="F4F1E8" w:val="clear"/>
            <w:tcMar>
              <w:top w:type="dxa" w:w="90"/>
              <w:left w:type="dxa" w:w="200"/>
              <w:bottom w:type="dxa" w:w="90"/>
              <w:right w:type="dxa" w:w="160"/>
            </w:tcMar>
            <w:vAlign w:val="top"/>
          </w:tcPr>
          <w:p>
            <w:pPr>
              <w:spacing w:after="0" w:before="60"/>
            </w:pPr>
            <w:r>
              <w:rPr>
                <w:rFonts w:ascii="Arial" w:cs="Arial" w:eastAsia="Arial" w:hAnsi="Arial"/>
                <w:b/>
                <w:bCs/>
                <w:color w:val="0A1628"/>
                <w:sz w:val="17"/>
                <w:szCs w:val="17"/>
              </w:rPr>
              <w:t xml:space="preserve">India Regulatory</w:t>
            </w:r>
          </w:p>
        </w:tc>
        <w:tc>
          <w:tcPr>
            <w:tcW w:type="dxa" w:w="7080"/>
            <w:tcBorders>
              <w:top w:val="single" w:color="D6D9DE" w:sz="4"/>
              <w:left w:val="single" w:color="D6D9DE" w:sz="4"/>
              <w:bottom w:val="single" w:color="D6D9DE" w:sz="4"/>
              <w:right w:val="single" w:color="D6D9DE" w:sz="4"/>
            </w:tcBorders>
            <w:shd w:fill="F4F1E8" w:val="clear"/>
            <w:tcMar>
              <w:top w:type="dxa" w:w="90"/>
              <w:left w:type="dxa" w:w="160"/>
              <w:bottom w:type="dxa" w:w="90"/>
              <w:right w:type="dxa" w:w="200"/>
            </w:tcMar>
            <w:vAlign w:val="top"/>
          </w:tcPr>
          <w:p>
            <w:pPr>
              <w:spacing w:after="0" w:before="0" w:line="300"/>
              <w:jc w:val="left"/>
            </w:pPr>
            <w:r>
              <w:rPr>
                <w:rFonts w:ascii="Arial" w:cs="Arial" w:eastAsia="Arial" w:hAnsi="Arial"/>
                <w:color w:val="3B4A63"/>
                <w:sz w:val="14"/>
                <w:szCs w:val="14"/>
              </w:rPr>
              <w:t xml:space="preserve">RBI Master Directions on Cybersecurity · RBI IT Outsourcing Guidelines · RBI Digital Lending Guidelines · SEBI Cyber Resilience · IRDAI Information &amp; Cyber Security</w:t>
            </w:r>
          </w:p>
        </w:tc>
      </w:tr>
      <w:tr>
        <w:tc>
          <w:tcPr>
            <w:tcW w:type="dxa" w:w="3000"/>
            <w:tcBorders>
              <w:top w:val="single" w:color="D6D9DE" w:sz="4"/>
              <w:left w:val="single" w:color="D6D9DE" w:sz="4"/>
              <w:bottom w:val="single" w:color="D6D9DE" w:sz="4"/>
              <w:right w:val="single" w:color="D6D9DE" w:sz="4"/>
            </w:tcBorders>
            <w:shd w:fill="FFFFFF" w:val="clear"/>
            <w:tcMar>
              <w:top w:type="dxa" w:w="90"/>
              <w:left w:type="dxa" w:w="200"/>
              <w:bottom w:type="dxa" w:w="90"/>
              <w:right w:type="dxa" w:w="160"/>
            </w:tcMar>
            <w:vAlign w:val="top"/>
          </w:tcPr>
          <w:p>
            <w:pPr>
              <w:spacing w:after="0" w:before="60"/>
            </w:pPr>
            <w:r>
              <w:rPr>
                <w:rFonts w:ascii="Arial" w:cs="Arial" w:eastAsia="Arial" w:hAnsi="Arial"/>
                <w:b/>
                <w:bCs/>
                <w:color w:val="0A1628"/>
                <w:sz w:val="17"/>
                <w:szCs w:val="17"/>
              </w:rPr>
              <w:t xml:space="preserve">Healthcare</w:t>
            </w:r>
          </w:p>
        </w:tc>
        <w:tc>
          <w:tcPr>
            <w:tcW w:type="dxa" w:w="7080"/>
            <w:tcBorders>
              <w:top w:val="single" w:color="D6D9DE" w:sz="4"/>
              <w:left w:val="single" w:color="D6D9DE" w:sz="4"/>
              <w:bottom w:val="single" w:color="D6D9DE" w:sz="4"/>
              <w:right w:val="single" w:color="D6D9DE" w:sz="4"/>
            </w:tcBorders>
            <w:shd w:fill="FFFFFF" w:val="clear"/>
            <w:tcMar>
              <w:top w:type="dxa" w:w="90"/>
              <w:left w:type="dxa" w:w="160"/>
              <w:bottom w:type="dxa" w:w="90"/>
              <w:right w:type="dxa" w:w="200"/>
            </w:tcMar>
            <w:vAlign w:val="top"/>
          </w:tcPr>
          <w:p>
            <w:pPr>
              <w:spacing w:after="0" w:before="0" w:line="300"/>
              <w:jc w:val="left"/>
            </w:pPr>
            <w:r>
              <w:rPr>
                <w:rFonts w:ascii="Arial" w:cs="Arial" w:eastAsia="Arial" w:hAnsi="Arial"/>
                <w:color w:val="3B4A63"/>
                <w:sz w:val="14"/>
                <w:szCs w:val="14"/>
              </w:rPr>
              <w:t xml:space="preserve">NPHIES integration standards · CCHI · NHRA Bahrain · DHA Dubai · HAAD Abu Dhabi · HIPAA-equivalent privacy controls</w:t>
            </w:r>
          </w:p>
        </w:tc>
      </w:tr>
      <w:tr>
        <w:tc>
          <w:tcPr>
            <w:tcW w:type="dxa" w:w="3000"/>
            <w:tcBorders>
              <w:top w:val="single" w:color="D6D9DE" w:sz="4"/>
              <w:left w:val="single" w:color="D6D9DE" w:sz="4"/>
              <w:bottom w:val="single" w:color="D6D9DE" w:sz="4"/>
              <w:right w:val="single" w:color="D6D9DE" w:sz="4"/>
            </w:tcBorders>
            <w:shd w:fill="F4F1E8" w:val="clear"/>
            <w:tcMar>
              <w:top w:type="dxa" w:w="90"/>
              <w:left w:type="dxa" w:w="200"/>
              <w:bottom w:type="dxa" w:w="90"/>
              <w:right w:type="dxa" w:w="160"/>
            </w:tcMar>
            <w:vAlign w:val="top"/>
          </w:tcPr>
          <w:p>
            <w:pPr>
              <w:spacing w:after="0" w:before="60"/>
            </w:pPr>
            <w:r>
              <w:rPr>
                <w:rFonts w:ascii="Arial" w:cs="Arial" w:eastAsia="Arial" w:hAnsi="Arial"/>
                <w:b/>
                <w:bCs/>
                <w:color w:val="0A1628"/>
                <w:sz w:val="17"/>
                <w:szCs w:val="17"/>
              </w:rPr>
              <w:t xml:space="preserve">Financial Services</w:t>
            </w:r>
          </w:p>
        </w:tc>
        <w:tc>
          <w:tcPr>
            <w:tcW w:type="dxa" w:w="7080"/>
            <w:tcBorders>
              <w:top w:val="single" w:color="D6D9DE" w:sz="4"/>
              <w:left w:val="single" w:color="D6D9DE" w:sz="4"/>
              <w:bottom w:val="single" w:color="D6D9DE" w:sz="4"/>
              <w:right w:val="single" w:color="D6D9DE" w:sz="4"/>
            </w:tcBorders>
            <w:shd w:fill="F4F1E8" w:val="clear"/>
            <w:tcMar>
              <w:top w:type="dxa" w:w="90"/>
              <w:left w:type="dxa" w:w="160"/>
              <w:bottom w:type="dxa" w:w="90"/>
              <w:right w:type="dxa" w:w="200"/>
            </w:tcMar>
            <w:vAlign w:val="top"/>
          </w:tcPr>
          <w:p>
            <w:pPr>
              <w:spacing w:after="0" w:before="0" w:line="300"/>
              <w:jc w:val="left"/>
            </w:pPr>
            <w:r>
              <w:rPr>
                <w:rFonts w:ascii="Arial" w:cs="Arial" w:eastAsia="Arial" w:hAnsi="Arial"/>
                <w:color w:val="3B4A63"/>
                <w:sz w:val="14"/>
                <w:szCs w:val="14"/>
              </w:rPr>
              <w:t xml:space="preserve">Basel III &amp; Basel IV · PCI DSS v4.0 · AML/CFT · FATF · SWIFT CSP · ISO 20022</w:t>
            </w:r>
          </w:p>
        </w:tc>
      </w:tr>
      <w:tr>
        <w:tc>
          <w:tcPr>
            <w:tcW w:type="dxa" w:w="3000"/>
            <w:tcBorders>
              <w:top w:val="single" w:color="D6D9DE" w:sz="4"/>
              <w:left w:val="single" w:color="D6D9DE" w:sz="4"/>
              <w:bottom w:val="single" w:color="D6D9DE" w:sz="4"/>
              <w:right w:val="single" w:color="D6D9DE" w:sz="4"/>
            </w:tcBorders>
            <w:shd w:fill="FFFFFF" w:val="clear"/>
            <w:tcMar>
              <w:top w:type="dxa" w:w="90"/>
              <w:left w:type="dxa" w:w="200"/>
              <w:bottom w:type="dxa" w:w="90"/>
              <w:right w:type="dxa" w:w="160"/>
            </w:tcMar>
            <w:vAlign w:val="top"/>
          </w:tcPr>
          <w:p>
            <w:pPr>
              <w:spacing w:after="0" w:before="60"/>
            </w:pPr>
            <w:r>
              <w:rPr>
                <w:rFonts w:ascii="Arial" w:cs="Arial" w:eastAsia="Arial" w:hAnsi="Arial"/>
                <w:b/>
                <w:bCs/>
                <w:color w:val="0A1628"/>
                <w:sz w:val="17"/>
                <w:szCs w:val="17"/>
              </w:rPr>
              <w:t xml:space="preserve">Quality &amp; Operations</w:t>
            </w:r>
          </w:p>
        </w:tc>
        <w:tc>
          <w:tcPr>
            <w:tcW w:type="dxa" w:w="7080"/>
            <w:tcBorders>
              <w:top w:val="single" w:color="D6D9DE" w:sz="4"/>
              <w:left w:val="single" w:color="D6D9DE" w:sz="4"/>
              <w:bottom w:val="single" w:color="D6D9DE" w:sz="4"/>
              <w:right w:val="single" w:color="D6D9DE" w:sz="4"/>
            </w:tcBorders>
            <w:shd w:fill="FFFFFF" w:val="clear"/>
            <w:tcMar>
              <w:top w:type="dxa" w:w="90"/>
              <w:left w:type="dxa" w:w="160"/>
              <w:bottom w:type="dxa" w:w="90"/>
              <w:right w:type="dxa" w:w="200"/>
            </w:tcMar>
            <w:vAlign w:val="top"/>
          </w:tcPr>
          <w:p>
            <w:pPr>
              <w:spacing w:after="0" w:before="0" w:line="300"/>
              <w:jc w:val="left"/>
            </w:pPr>
            <w:r>
              <w:rPr>
                <w:rFonts w:ascii="Arial" w:cs="Arial" w:eastAsia="Arial" w:hAnsi="Arial"/>
                <w:color w:val="3B4A63"/>
                <w:sz w:val="14"/>
                <w:szCs w:val="14"/>
              </w:rPr>
              <w:t xml:space="preserve">ISO 9001:2015 (Quality Management) · ISO 14001 (Environment) · ISO 45001 (Occupational Health &amp; Safety)</w:t>
            </w:r>
          </w:p>
        </w:tc>
      </w:tr>
      <w:tr>
        <w:tc>
          <w:tcPr>
            <w:tcW w:type="dxa" w:w="3000"/>
            <w:tcBorders>
              <w:top w:val="single" w:color="D6D9DE" w:sz="4"/>
              <w:left w:val="single" w:color="D6D9DE" w:sz="4"/>
              <w:bottom w:val="single" w:color="D6D9DE" w:sz="4"/>
              <w:right w:val="single" w:color="D6D9DE" w:sz="4"/>
            </w:tcBorders>
            <w:shd w:fill="F4F1E8" w:val="clear"/>
            <w:tcMar>
              <w:top w:type="dxa" w:w="90"/>
              <w:left w:type="dxa" w:w="200"/>
              <w:bottom w:type="dxa" w:w="90"/>
              <w:right w:type="dxa" w:w="160"/>
            </w:tcMar>
            <w:vAlign w:val="top"/>
          </w:tcPr>
          <w:p>
            <w:pPr>
              <w:spacing w:after="0" w:before="60"/>
            </w:pPr>
            <w:r>
              <w:rPr>
                <w:rFonts w:ascii="Arial" w:cs="Arial" w:eastAsia="Arial" w:hAnsi="Arial"/>
                <w:b/>
                <w:bCs/>
                <w:color w:val="0A1628"/>
                <w:sz w:val="17"/>
                <w:szCs w:val="17"/>
              </w:rPr>
              <w:t xml:space="preserve">Industrial / OT</w:t>
            </w:r>
          </w:p>
        </w:tc>
        <w:tc>
          <w:tcPr>
            <w:tcW w:type="dxa" w:w="7080"/>
            <w:tcBorders>
              <w:top w:val="single" w:color="D6D9DE" w:sz="4"/>
              <w:left w:val="single" w:color="D6D9DE" w:sz="4"/>
              <w:bottom w:val="single" w:color="D6D9DE" w:sz="4"/>
              <w:right w:val="single" w:color="D6D9DE" w:sz="4"/>
            </w:tcBorders>
            <w:shd w:fill="F4F1E8" w:val="clear"/>
            <w:tcMar>
              <w:top w:type="dxa" w:w="90"/>
              <w:left w:type="dxa" w:w="160"/>
              <w:bottom w:type="dxa" w:w="90"/>
              <w:right w:type="dxa" w:w="200"/>
            </w:tcMar>
            <w:vAlign w:val="top"/>
          </w:tcPr>
          <w:p>
            <w:pPr>
              <w:spacing w:after="0" w:before="0" w:line="300"/>
              <w:jc w:val="left"/>
            </w:pPr>
            <w:r>
              <w:rPr>
                <w:rFonts w:ascii="Arial" w:cs="Arial" w:eastAsia="Arial" w:hAnsi="Arial"/>
                <w:color w:val="3B4A63"/>
                <w:sz w:val="14"/>
                <w:szCs w:val="14"/>
              </w:rPr>
              <w:t xml:space="preserve">IEC 62443 · ISO 27019 · NIST SP 800-82 · NERC CIP</w:t>
            </w:r>
          </w:p>
        </w:tc>
      </w:tr>
      <w:tr>
        <w:tc>
          <w:tcPr>
            <w:tcW w:type="dxa" w:w="3000"/>
            <w:tcBorders>
              <w:top w:val="single" w:color="D6D9DE" w:sz="4"/>
              <w:left w:val="single" w:color="D6D9DE" w:sz="4"/>
              <w:bottom w:val="single" w:color="D6D9DE" w:sz="4"/>
              <w:right w:val="single" w:color="D6D9DE" w:sz="4"/>
            </w:tcBorders>
            <w:shd w:fill="FFFFFF" w:val="clear"/>
            <w:tcMar>
              <w:top w:type="dxa" w:w="90"/>
              <w:left w:type="dxa" w:w="200"/>
              <w:bottom w:type="dxa" w:w="90"/>
              <w:right w:type="dxa" w:w="160"/>
            </w:tcMar>
            <w:vAlign w:val="top"/>
          </w:tcPr>
          <w:p>
            <w:pPr>
              <w:spacing w:after="0" w:before="60"/>
            </w:pPr>
            <w:r>
              <w:rPr>
                <w:rFonts w:ascii="Arial" w:cs="Arial" w:eastAsia="Arial" w:hAnsi="Arial"/>
                <w:b/>
                <w:bCs/>
                <w:color w:val="0A1628"/>
                <w:sz w:val="17"/>
                <w:szCs w:val="17"/>
              </w:rPr>
              <w:t xml:space="preserve">AI Governance</w:t>
            </w:r>
          </w:p>
        </w:tc>
        <w:tc>
          <w:tcPr>
            <w:tcW w:type="dxa" w:w="7080"/>
            <w:tcBorders>
              <w:top w:val="single" w:color="D6D9DE" w:sz="4"/>
              <w:left w:val="single" w:color="D6D9DE" w:sz="4"/>
              <w:bottom w:val="single" w:color="D6D9DE" w:sz="4"/>
              <w:right w:val="single" w:color="D6D9DE" w:sz="4"/>
            </w:tcBorders>
            <w:shd w:fill="FFFFFF" w:val="clear"/>
            <w:tcMar>
              <w:top w:type="dxa" w:w="90"/>
              <w:left w:type="dxa" w:w="160"/>
              <w:bottom w:type="dxa" w:w="90"/>
              <w:right w:type="dxa" w:w="200"/>
            </w:tcMar>
            <w:vAlign w:val="top"/>
          </w:tcPr>
          <w:p>
            <w:pPr>
              <w:spacing w:after="0" w:before="0" w:line="300"/>
              <w:jc w:val="left"/>
            </w:pPr>
            <w:r>
              <w:rPr>
                <w:rFonts w:ascii="Arial" w:cs="Arial" w:eastAsia="Arial" w:hAnsi="Arial"/>
                <w:color w:val="3B4A63"/>
                <w:sz w:val="14"/>
                <w:szCs w:val="14"/>
              </w:rPr>
              <w:t xml:space="preserve">ISO/IEC 42001:2023 (AI Management Systems) · OWASP AI Security &amp; Privacy · OWASP Agentic AI Top 10 · NIST AI Risk Management Framework · EU AI Act readiness · SDAIA AI ethics principles</w:t>
            </w:r>
          </w:p>
        </w:tc>
      </w:tr>
      <w:tr>
        <w:tc>
          <w:tcPr>
            <w:tcW w:type="dxa" w:w="3000"/>
            <w:tcBorders>
              <w:top w:val="single" w:color="D6D9DE" w:sz="4"/>
              <w:left w:val="single" w:color="D6D9DE" w:sz="4"/>
              <w:bottom w:val="single" w:color="D6D9DE" w:sz="4"/>
              <w:right w:val="single" w:color="D6D9DE" w:sz="4"/>
            </w:tcBorders>
            <w:shd w:fill="F4F1E8" w:val="clear"/>
            <w:tcMar>
              <w:top w:type="dxa" w:w="90"/>
              <w:left w:type="dxa" w:w="200"/>
              <w:bottom w:type="dxa" w:w="90"/>
              <w:right w:type="dxa" w:w="160"/>
            </w:tcMar>
            <w:vAlign w:val="top"/>
          </w:tcPr>
          <w:p>
            <w:pPr>
              <w:spacing w:after="0" w:before="60"/>
            </w:pPr>
            <w:r>
              <w:rPr>
                <w:rFonts w:ascii="Arial" w:cs="Arial" w:eastAsia="Arial" w:hAnsi="Arial"/>
                <w:b/>
                <w:bCs/>
                <w:color w:val="0A1628"/>
                <w:sz w:val="17"/>
                <w:szCs w:val="17"/>
              </w:rPr>
              <w:t xml:space="preserve">Tax &amp; Invoicing</w:t>
            </w:r>
          </w:p>
        </w:tc>
        <w:tc>
          <w:tcPr>
            <w:tcW w:type="dxa" w:w="7080"/>
            <w:tcBorders>
              <w:top w:val="single" w:color="D6D9DE" w:sz="4"/>
              <w:left w:val="single" w:color="D6D9DE" w:sz="4"/>
              <w:bottom w:val="single" w:color="D6D9DE" w:sz="4"/>
              <w:right w:val="single" w:color="D6D9DE" w:sz="4"/>
            </w:tcBorders>
            <w:shd w:fill="F4F1E8" w:val="clear"/>
            <w:tcMar>
              <w:top w:type="dxa" w:w="90"/>
              <w:left w:type="dxa" w:w="160"/>
              <w:bottom w:type="dxa" w:w="90"/>
              <w:right w:type="dxa" w:w="200"/>
            </w:tcMar>
            <w:vAlign w:val="top"/>
          </w:tcPr>
          <w:p>
            <w:pPr>
              <w:spacing w:after="0" w:before="0" w:line="300"/>
              <w:jc w:val="left"/>
            </w:pPr>
            <w:r>
              <w:rPr>
                <w:rFonts w:ascii="Arial" w:cs="Arial" w:eastAsia="Arial" w:hAnsi="Arial"/>
                <w:color w:val="3B4A63"/>
                <w:sz w:val="14"/>
                <w:szCs w:val="14"/>
              </w:rPr>
              <w:t xml:space="preserve">KSA ZATCA Phase 1 &amp; Phase 2 (Fatoora) · UAE FTA e-invoicing (when applicable) · India GST e-invoicing · India e-Way Bill</w:t>
            </w:r>
          </w:p>
        </w:tc>
      </w:tr>
      <w:tr>
        <w:tc>
          <w:tcPr>
            <w:tcW w:type="dxa" w:w="3000"/>
            <w:tcBorders>
              <w:top w:val="single" w:color="D6D9DE" w:sz="4"/>
              <w:left w:val="single" w:color="D6D9DE" w:sz="4"/>
              <w:bottom w:val="single" w:color="D6D9DE" w:sz="4"/>
              <w:right w:val="single" w:color="D6D9DE" w:sz="4"/>
            </w:tcBorders>
            <w:shd w:fill="FFFFFF" w:val="clear"/>
            <w:tcMar>
              <w:top w:type="dxa" w:w="90"/>
              <w:left w:type="dxa" w:w="200"/>
              <w:bottom w:type="dxa" w:w="90"/>
              <w:right w:type="dxa" w:w="160"/>
            </w:tcMar>
            <w:vAlign w:val="top"/>
          </w:tcPr>
          <w:p>
            <w:pPr>
              <w:spacing w:after="0" w:before="60"/>
            </w:pPr>
            <w:r>
              <w:rPr>
                <w:rFonts w:ascii="Arial" w:cs="Arial" w:eastAsia="Arial" w:hAnsi="Arial"/>
                <w:b/>
                <w:bCs/>
                <w:color w:val="0A1628"/>
                <w:sz w:val="17"/>
                <w:szCs w:val="17"/>
              </w:rPr>
              <w:t xml:space="preserve">Cloud &amp; Sovereignty</w:t>
            </w:r>
          </w:p>
        </w:tc>
        <w:tc>
          <w:tcPr>
            <w:tcW w:type="dxa" w:w="7080"/>
            <w:tcBorders>
              <w:top w:val="single" w:color="D6D9DE" w:sz="4"/>
              <w:left w:val="single" w:color="D6D9DE" w:sz="4"/>
              <w:bottom w:val="single" w:color="D6D9DE" w:sz="4"/>
              <w:right w:val="single" w:color="D6D9DE" w:sz="4"/>
            </w:tcBorders>
            <w:shd w:fill="FFFFFF" w:val="clear"/>
            <w:tcMar>
              <w:top w:type="dxa" w:w="90"/>
              <w:left w:type="dxa" w:w="160"/>
              <w:bottom w:type="dxa" w:w="90"/>
              <w:right w:type="dxa" w:w="200"/>
            </w:tcMar>
            <w:vAlign w:val="top"/>
          </w:tcPr>
          <w:p>
            <w:pPr>
              <w:spacing w:after="0" w:before="0" w:line="300"/>
              <w:jc w:val="left"/>
            </w:pPr>
            <w:r>
              <w:rPr>
                <w:rFonts w:ascii="Arial" w:cs="Arial" w:eastAsia="Arial" w:hAnsi="Arial"/>
                <w:color w:val="3B4A63"/>
                <w:sz w:val="14"/>
                <w:szCs w:val="14"/>
              </w:rPr>
              <w:t xml:space="preserve">KSA SDAIA cloud computing regulations · KSA NCA cloud security framework · Saudi Arabia data localisation requirements · India MeitY data residency · UAE cloud sovereignty guidelines</w:t>
            </w:r>
          </w:p>
        </w:tc>
      </w:tr>
      <w:tr>
        <w:tc>
          <w:tcPr>
            <w:tcW w:type="dxa" w:w="3000"/>
            <w:tcBorders>
              <w:top w:val="single" w:color="D6D9DE" w:sz="4"/>
              <w:left w:val="single" w:color="D6D9DE" w:sz="4"/>
              <w:bottom w:val="single" w:color="D6D9DE" w:sz="4"/>
              <w:right w:val="single" w:color="D6D9DE" w:sz="4"/>
            </w:tcBorders>
            <w:shd w:fill="F4F1E8" w:val="clear"/>
            <w:tcMar>
              <w:top w:type="dxa" w:w="90"/>
              <w:left w:type="dxa" w:w="200"/>
              <w:bottom w:type="dxa" w:w="90"/>
              <w:right w:type="dxa" w:w="160"/>
            </w:tcMar>
            <w:vAlign w:val="top"/>
          </w:tcPr>
          <w:p>
            <w:pPr>
              <w:spacing w:after="0" w:before="60"/>
            </w:pPr>
            <w:r>
              <w:rPr>
                <w:rFonts w:ascii="Arial" w:cs="Arial" w:eastAsia="Arial" w:hAnsi="Arial"/>
                <w:b/>
                <w:bCs/>
                <w:color w:val="0A1628"/>
                <w:sz w:val="17"/>
                <w:szCs w:val="17"/>
              </w:rPr>
              <w:t xml:space="preserve">Engineering Standards</w:t>
            </w:r>
          </w:p>
        </w:tc>
        <w:tc>
          <w:tcPr>
            <w:tcW w:type="dxa" w:w="7080"/>
            <w:tcBorders>
              <w:top w:val="single" w:color="D6D9DE" w:sz="4"/>
              <w:left w:val="single" w:color="D6D9DE" w:sz="4"/>
              <w:bottom w:val="single" w:color="D6D9DE" w:sz="4"/>
              <w:right w:val="single" w:color="D6D9DE" w:sz="4"/>
            </w:tcBorders>
            <w:shd w:fill="F4F1E8" w:val="clear"/>
            <w:tcMar>
              <w:top w:type="dxa" w:w="90"/>
              <w:left w:type="dxa" w:w="160"/>
              <w:bottom w:type="dxa" w:w="90"/>
              <w:right w:type="dxa" w:w="200"/>
            </w:tcMar>
            <w:vAlign w:val="top"/>
          </w:tcPr>
          <w:p>
            <w:pPr>
              <w:spacing w:after="0" w:before="0" w:line="300"/>
              <w:jc w:val="left"/>
            </w:pPr>
            <w:r>
              <w:rPr>
                <w:rFonts w:ascii="Arial" w:cs="Arial" w:eastAsia="Arial" w:hAnsi="Arial"/>
                <w:color w:val="3B4A63"/>
                <w:sz w:val="14"/>
                <w:szCs w:val="14"/>
              </w:rPr>
              <w:t xml:space="preserve">OWASP Top 10 · OWASP API Security Top 10 · CIS Benchmarks · CNCF security best practices · SLSA supply-chain levels</w:t>
            </w:r>
          </w:p>
        </w:tc>
      </w:tr>
    </w:tbl>
    <w:p>
      <w:pPr>
        <w:spacing w:after="40" w:before="0"/>
      </w:pPr>
      <w:r>
        <w:rPr>
          <w:rFonts w:ascii="Arial" w:cs="Arial" w:eastAsia="Arial" w:hAnsi="Arial"/>
          <w:b/>
          <w:bCs/>
          <w:color w:val="C9A84C"/>
          <w:spacing w:val="30"/>
          <w:sz w:val="16"/>
          <w:szCs w:val="16"/>
        </w:rPr>
        <w:t xml:space="preserve">/ Appendix</w:t>
      </w:r>
    </w:p>
    <w:p>
      <w:pPr>
        <w:pStyle w:val="Heading1"/>
        <w:pageBreakBefore/>
        <w:spacing w:after="240" w:before="480"/>
      </w:pPr>
      <w:r>
        <w:rPr>
          <w:rFonts w:ascii="Arial" w:cs="Arial" w:eastAsia="Arial" w:hAnsi="Arial"/>
          <w:b/>
          <w:bCs/>
          <w:color w:val="0A1628"/>
          <w:sz w:val="36"/>
          <w:szCs w:val="36"/>
        </w:rPr>
        <w:t xml:space="preserve">Appendix A — Office Addresses</w:t>
      </w:r>
    </w:p>
    <w:p>
      <w:pPr>
        <w:pBdr>
          <w:bottom w:val="single" w:color="C9A84C" w:sz="8" w:space="1"/>
        </w:pBdr>
        <w:spacing w:after="120" w:before="120"/>
      </w:pPr>
      <w:r>
        <w:t xml:space="preserve"/>
      </w:r>
    </w:p>
    <w:p>
      <w:pPr>
        <w:spacing w:after="200" w:before="60" w:line="300"/>
        <w:jc w:val="left"/>
      </w:pPr>
      <w:r>
        <w:rPr>
          <w:rFonts w:ascii="Arial" w:cs="Arial" w:eastAsia="Arial" w:hAnsi="Arial"/>
          <w:color w:val="3B4A63"/>
          <w:sz w:val="18"/>
          <w:szCs w:val="18"/>
        </w:rPr>
        <w:t xml:space="preserve">Direct lines and registered addresses for each Veltrixair office.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360"/>
        <w:gridCol w:w="3360"/>
        <w:gridCol w:w="3360"/>
      </w:tblGrid>
      <w:tr>
        <w:tc>
          <w:tcPr>
            <w:tcW w:type="dxa" w:w="3360"/>
            <w:tcBorders>
              <w:top w:val="single" w:color="D6D9DE" w:sz="4"/>
              <w:left w:val="single" w:color="D6D9DE" w:sz="4"/>
              <w:bottom w:val="single" w:color="D6D9DE" w:sz="4"/>
              <w:right w:val="single" w:color="D6D9DE" w:sz="4"/>
            </w:tcBorders>
            <w:shd w:fill="F4F1E8" w:val="clear"/>
            <w:tcMar>
              <w:top w:type="dxa" w:w="200"/>
              <w:left w:type="dxa" w:w="200"/>
              <w:bottom w:type="dxa" w:w="200"/>
              <w:right w:type="dxa" w:w="200"/>
            </w:tcMar>
            <w:vAlign w:val="top"/>
          </w:tcPr>
          <w:p>
            <w:pPr>
              <w:spacing w:after="60" w:before="0"/>
            </w:pPr>
            <w:r>
              <w:rPr>
                <w:rFonts w:ascii="Arial" w:cs="Arial" w:eastAsia="Arial" w:hAnsi="Arial"/>
                <w:b/>
                <w:bCs/>
                <w:color w:val="C9A84C"/>
                <w:spacing w:val="25"/>
                <w:sz w:val="14"/>
                <w:szCs w:val="14"/>
              </w:rPr>
              <w:t xml:space="preserve">RIYADH HQ</w:t>
            </w:r>
          </w:p>
          <w:p>
            <w:pPr>
              <w:spacing w:after="60" w:before="120"/>
            </w:pPr>
            <w:r>
              <w:rPr>
                <w:rFonts w:ascii="Arial" w:cs="Arial" w:eastAsia="Arial" w:hAnsi="Arial"/>
                <w:b/>
                <w:bCs/>
                <w:color w:val="0A1628"/>
                <w:sz w:val="20"/>
                <w:szCs w:val="20"/>
              </w:rPr>
              <w:t xml:space="preserve">Saudi Arabia</w:t>
            </w:r>
          </w:p>
          <w:p>
            <w:pPr>
              <w:spacing w:after="30" w:before="0" w:line="300"/>
              <w:jc w:val="left"/>
            </w:pPr>
            <w:r>
              <w:rPr>
                <w:rFonts w:ascii="Arial" w:cs="Arial" w:eastAsia="Arial" w:hAnsi="Arial"/>
                <w:b/>
                <w:bCs/>
                <w:color w:val="0A1628"/>
                <w:sz w:val="16"/>
                <w:szCs w:val="16"/>
              </w:rPr>
              <w:t xml:space="preserve">Veltrixair Enterprises</w:t>
            </w:r>
          </w:p>
          <w:p>
            <w:pPr>
              <w:spacing w:after="20" w:before="0" w:line="300"/>
              <w:jc w:val="left"/>
            </w:pPr>
            <w:r>
              <w:rPr>
                <w:rFonts w:ascii="Arial" w:cs="Arial" w:eastAsia="Arial" w:hAnsi="Arial"/>
                <w:color w:val="3B4A63"/>
                <w:sz w:val="15"/>
                <w:szCs w:val="15"/>
              </w:rPr>
              <w:t xml:space="preserve">King Fahd Road, Olaya District</w:t>
            </w:r>
          </w:p>
          <w:p>
            <w:pPr>
              <w:spacing w:after="100" w:before="0" w:line="300"/>
              <w:jc w:val="left"/>
            </w:pPr>
            <w:r>
              <w:rPr>
                <w:rFonts w:ascii="Arial" w:cs="Arial" w:eastAsia="Arial" w:hAnsi="Arial"/>
                <w:color w:val="3B4A63"/>
                <w:sz w:val="15"/>
                <w:szCs w:val="15"/>
              </w:rPr>
              <w:t xml:space="preserve">Riyadh 11564</w:t>
            </w:r>
          </w:p>
          <w:p>
            <w:pPr>
              <w:spacing w:after="120" w:before="0" w:line="300"/>
              <w:jc w:val="left"/>
            </w:pPr>
            <w:r>
              <w:rPr>
                <w:rFonts w:ascii="Arial" w:cs="Arial" w:eastAsia="Arial" w:hAnsi="Arial"/>
                <w:b/>
                <w:bCs/>
                <w:color w:val="0A1628"/>
                <w:sz w:val="15"/>
                <w:szCs w:val="15"/>
              </w:rPr>
              <w:t xml:space="preserve">Tel: +966 11 234 5678</w:t>
            </w:r>
          </w:p>
        </w:tc>
        <w:tc>
          <w:tcPr>
            <w:tcW w:type="dxa" w:w="3360"/>
            <w:tcBorders>
              <w:top w:val="single" w:color="D6D9DE" w:sz="4"/>
              <w:left w:val="single" w:color="D6D9DE" w:sz="4"/>
              <w:bottom w:val="single" w:color="D6D9DE" w:sz="4"/>
              <w:right w:val="single" w:color="D6D9DE" w:sz="4"/>
            </w:tcBorders>
            <w:shd w:fill="F4F1E8" w:val="clear"/>
            <w:tcMar>
              <w:top w:type="dxa" w:w="200"/>
              <w:left w:type="dxa" w:w="200"/>
              <w:bottom w:type="dxa" w:w="200"/>
              <w:right w:type="dxa" w:w="200"/>
            </w:tcMar>
            <w:vAlign w:val="top"/>
          </w:tcPr>
          <w:p>
            <w:pPr>
              <w:spacing w:after="60" w:before="0"/>
            </w:pPr>
            <w:r>
              <w:rPr>
                <w:rFonts w:ascii="Arial" w:cs="Arial" w:eastAsia="Arial" w:hAnsi="Arial"/>
                <w:b/>
                <w:bCs/>
                <w:color w:val="C9A84C"/>
                <w:spacing w:val="25"/>
                <w:sz w:val="14"/>
                <w:szCs w:val="14"/>
              </w:rPr>
              <w:t xml:space="preserve">DUBAI</w:t>
            </w:r>
          </w:p>
          <w:p>
            <w:pPr>
              <w:spacing w:after="60" w:before="120"/>
            </w:pPr>
            <w:r>
              <w:rPr>
                <w:rFonts w:ascii="Arial" w:cs="Arial" w:eastAsia="Arial" w:hAnsi="Arial"/>
                <w:b/>
                <w:bCs/>
                <w:color w:val="0A1628"/>
                <w:sz w:val="20"/>
                <w:szCs w:val="20"/>
              </w:rPr>
              <w:t xml:space="preserve">United Arab Emirates</w:t>
            </w:r>
          </w:p>
          <w:p>
            <w:pPr>
              <w:spacing w:after="30" w:before="0" w:line="300"/>
              <w:jc w:val="left"/>
            </w:pPr>
            <w:r>
              <w:rPr>
                <w:rFonts w:ascii="Arial" w:cs="Arial" w:eastAsia="Arial" w:hAnsi="Arial"/>
                <w:b/>
                <w:bCs/>
                <w:color w:val="0A1628"/>
                <w:sz w:val="16"/>
                <w:szCs w:val="16"/>
              </w:rPr>
              <w:t xml:space="preserve">Veltrixair Enterprises (UAE)</w:t>
            </w:r>
          </w:p>
          <w:p>
            <w:pPr>
              <w:spacing w:after="20" w:before="0" w:line="300"/>
              <w:jc w:val="left"/>
            </w:pPr>
            <w:r>
              <w:rPr>
                <w:rFonts w:ascii="Arial" w:cs="Arial" w:eastAsia="Arial" w:hAnsi="Arial"/>
                <w:color w:val="3B4A63"/>
                <w:sz w:val="15"/>
                <w:szCs w:val="15"/>
              </w:rPr>
              <w:t xml:space="preserve">Dubai International Financial Centre</w:t>
            </w:r>
          </w:p>
          <w:p>
            <w:pPr>
              <w:spacing w:after="100" w:before="0" w:line="300"/>
              <w:jc w:val="left"/>
            </w:pPr>
            <w:r>
              <w:rPr>
                <w:rFonts w:ascii="Arial" w:cs="Arial" w:eastAsia="Arial" w:hAnsi="Arial"/>
                <w:color w:val="3B4A63"/>
                <w:sz w:val="15"/>
                <w:szCs w:val="15"/>
              </w:rPr>
              <w:t xml:space="preserve">Dubai, UAE</w:t>
            </w:r>
          </w:p>
          <w:p>
            <w:pPr>
              <w:spacing w:after="120" w:before="0" w:line="300"/>
              <w:jc w:val="left"/>
            </w:pPr>
            <w:r>
              <w:rPr>
                <w:rFonts w:ascii="Arial" w:cs="Arial" w:eastAsia="Arial" w:hAnsi="Arial"/>
                <w:b/>
                <w:bCs/>
                <w:color w:val="0A1628"/>
                <w:sz w:val="15"/>
                <w:szCs w:val="15"/>
              </w:rPr>
              <w:t xml:space="preserve">Tel: +971 4 234 5678</w:t>
            </w:r>
          </w:p>
        </w:tc>
        <w:tc>
          <w:tcPr>
            <w:tcW w:type="dxa" w:w="3360"/>
            <w:tcBorders>
              <w:top w:val="single" w:color="D6D9DE" w:sz="4"/>
              <w:left w:val="single" w:color="D6D9DE" w:sz="4"/>
              <w:bottom w:val="single" w:color="D6D9DE" w:sz="4"/>
              <w:right w:val="single" w:color="D6D9DE" w:sz="4"/>
            </w:tcBorders>
            <w:shd w:fill="F4F1E8" w:val="clear"/>
            <w:tcMar>
              <w:top w:type="dxa" w:w="200"/>
              <w:left w:type="dxa" w:w="200"/>
              <w:bottom w:type="dxa" w:w="200"/>
              <w:right w:type="dxa" w:w="200"/>
            </w:tcMar>
            <w:vAlign w:val="top"/>
          </w:tcPr>
          <w:p>
            <w:pPr>
              <w:spacing w:after="60" w:before="0"/>
            </w:pPr>
            <w:r>
              <w:rPr>
                <w:rFonts w:ascii="Arial" w:cs="Arial" w:eastAsia="Arial" w:hAnsi="Arial"/>
                <w:b/>
                <w:bCs/>
                <w:color w:val="C9A84C"/>
                <w:spacing w:val="25"/>
                <w:sz w:val="14"/>
                <w:szCs w:val="14"/>
              </w:rPr>
              <w:t xml:space="preserve">MUMBAI</w:t>
            </w:r>
          </w:p>
          <w:p>
            <w:pPr>
              <w:spacing w:after="60" w:before="120"/>
            </w:pPr>
            <w:r>
              <w:rPr>
                <w:rFonts w:ascii="Arial" w:cs="Arial" w:eastAsia="Arial" w:hAnsi="Arial"/>
                <w:b/>
                <w:bCs/>
                <w:color w:val="0A1628"/>
                <w:sz w:val="20"/>
                <w:szCs w:val="20"/>
              </w:rPr>
              <w:t xml:space="preserve">India</w:t>
            </w:r>
          </w:p>
          <w:p>
            <w:pPr>
              <w:spacing w:after="30" w:before="0" w:line="300"/>
              <w:jc w:val="left"/>
            </w:pPr>
            <w:r>
              <w:rPr>
                <w:rFonts w:ascii="Arial" w:cs="Arial" w:eastAsia="Arial" w:hAnsi="Arial"/>
                <w:b/>
                <w:bCs/>
                <w:color w:val="0A1628"/>
                <w:sz w:val="16"/>
                <w:szCs w:val="16"/>
              </w:rPr>
              <w:t xml:space="preserve">Veltrixair Technologies India</w:t>
            </w:r>
          </w:p>
          <w:p>
            <w:pPr>
              <w:spacing w:after="20" w:before="0" w:line="300"/>
              <w:jc w:val="left"/>
            </w:pPr>
            <w:r>
              <w:rPr>
                <w:rFonts w:ascii="Arial" w:cs="Arial" w:eastAsia="Arial" w:hAnsi="Arial"/>
                <w:color w:val="3B4A63"/>
                <w:sz w:val="15"/>
                <w:szCs w:val="15"/>
              </w:rPr>
              <w:t xml:space="preserve">Bandra Kurla Complex (BKC)</w:t>
            </w:r>
          </w:p>
          <w:p>
            <w:pPr>
              <w:spacing w:after="100" w:before="0" w:line="300"/>
              <w:jc w:val="left"/>
            </w:pPr>
            <w:r>
              <w:rPr>
                <w:rFonts w:ascii="Arial" w:cs="Arial" w:eastAsia="Arial" w:hAnsi="Arial"/>
                <w:color w:val="3B4A63"/>
                <w:sz w:val="15"/>
                <w:szCs w:val="15"/>
              </w:rPr>
              <w:t xml:space="preserve">Mumbai 400051</w:t>
            </w:r>
          </w:p>
          <w:p>
            <w:pPr>
              <w:spacing w:after="120" w:before="0" w:line="300"/>
              <w:jc w:val="left"/>
            </w:pPr>
            <w:r>
              <w:rPr>
                <w:rFonts w:ascii="Arial" w:cs="Arial" w:eastAsia="Arial" w:hAnsi="Arial"/>
                <w:b/>
                <w:bCs/>
                <w:color w:val="0A1628"/>
                <w:sz w:val="15"/>
                <w:szCs w:val="15"/>
              </w:rPr>
              <w:t xml:space="preserve">Tel: +91 22 1234 5678</w:t>
            </w:r>
          </w:p>
        </w:tc>
      </w:tr>
    </w:tbl>
    <w:p>
      <w:pPr>
        <w:pStyle w:val="Heading2"/>
        <w:spacing w:after="120" w:before="320"/>
      </w:pPr>
      <w:r>
        <w:rPr>
          <w:rFonts w:ascii="Arial" w:cs="Arial" w:eastAsia="Arial" w:hAnsi="Arial"/>
          <w:b/>
          <w:bCs/>
          <w:color w:val="0A1628"/>
          <w:sz w:val="24"/>
          <w:szCs w:val="24"/>
        </w:rPr>
        <w:t xml:space="preserve">Appendix B — Document Custodian</w:t>
      </w:r>
    </w:p>
    <w:p>
      <w:pPr>
        <w:spacing w:after="200" w:before="0" w:line="300"/>
        <w:jc w:val="left"/>
      </w:pPr>
      <w:r>
        <w:rPr>
          <w:rFonts w:ascii="Arial" w:cs="Arial" w:eastAsia="Arial" w:hAnsi="Arial"/>
          <w:color w:val="3B4A63"/>
          <w:sz w:val="18"/>
          <w:szCs w:val="18"/>
        </w:rPr>
        <w:t xml:space="preserve">Questions about this Capability Statement, request for additional information, or NDA-protected reference materials should be directed to the document custodian below.</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360"/>
        <w:gridCol w:w="6720"/>
      </w:tblGrid>
      <w:tr>
        <w:tc>
          <w:tcPr>
            <w:tcW w:type="dxa" w:w="3360"/>
            <w:tcBorders>
              <w:top w:val="single" w:color="D6D9DE" w:sz="4"/>
              <w:left w:val="single" w:color="D6D9DE" w:sz="4"/>
              <w:bottom w:val="single" w:color="D6D9DE" w:sz="4"/>
              <w:right w:val="single" w:color="D6D9DE" w:sz="4"/>
            </w:tcBorders>
            <w:shd w:fill="F4F1E8" w:val="clear"/>
            <w:tcMar>
              <w:top w:type="dxa" w:w="100"/>
              <w:left w:type="dxa" w:w="160"/>
              <w:bottom w:type="dxa" w:w="100"/>
              <w:right w:type="dxa" w:w="160"/>
            </w:tcMar>
            <w:vAlign w:val="top"/>
          </w:tcPr>
          <w:p>
            <w:pPr>
              <w:spacing w:after="120" w:before="0" w:line="300"/>
              <w:jc w:val="left"/>
            </w:pPr>
            <w:r>
              <w:rPr>
                <w:rFonts w:ascii="Arial" w:cs="Arial" w:eastAsia="Arial" w:hAnsi="Arial"/>
                <w:color w:val="0A1628"/>
                <w:sz w:val="20"/>
                <w:szCs w:val="20"/>
              </w:rPr>
              <w:t xml:space="preserve">Document Custodian</w:t>
            </w:r>
          </w:p>
        </w:tc>
        <w:tc>
          <w:tcPr>
            <w:tcW w:type="dxa" w:w="6720"/>
            <w:tcBorders>
              <w:top w:val="single" w:color="D6D9DE" w:sz="4"/>
              <w:left w:val="single" w:color="D6D9DE" w:sz="4"/>
              <w:bottom w:val="single" w:color="D6D9DE" w:sz="4"/>
              <w:right w:val="single" w:color="D6D9DE" w:sz="4"/>
            </w:tcBorders>
            <w:tcMar>
              <w:top w:type="dxa" w:w="100"/>
              <w:left w:type="dxa" w:w="160"/>
              <w:bottom w:type="dxa" w:w="100"/>
              <w:right w:type="dxa" w:w="160"/>
            </w:tcMar>
            <w:vAlign w:val="top"/>
          </w:tcPr>
          <w:p>
            <w:pPr>
              <w:spacing w:after="120" w:before="0" w:line="300"/>
              <w:jc w:val="left"/>
            </w:pPr>
            <w:r>
              <w:rPr>
                <w:rFonts w:ascii="Arial" w:cs="Arial" w:eastAsia="Arial" w:hAnsi="Arial"/>
                <w:color w:val="3B4A63"/>
                <w:sz w:val="20"/>
                <w:szCs w:val="20"/>
              </w:rPr>
              <w:t xml:space="preserve">Office of the Chairman &amp; CFO, Veltrixair Enterprises</w:t>
            </w:r>
          </w:p>
        </w:tc>
      </w:tr>
      <w:tr>
        <w:tc>
          <w:tcPr>
            <w:tcW w:type="dxa" w:w="3360"/>
            <w:tcBorders>
              <w:top w:val="single" w:color="D6D9DE" w:sz="4"/>
              <w:left w:val="single" w:color="D6D9DE" w:sz="4"/>
              <w:bottom w:val="single" w:color="D6D9DE" w:sz="4"/>
              <w:right w:val="single" w:color="D6D9DE" w:sz="4"/>
            </w:tcBorders>
            <w:shd w:fill="F4F1E8" w:val="clear"/>
            <w:tcMar>
              <w:top w:type="dxa" w:w="100"/>
              <w:left w:type="dxa" w:w="160"/>
              <w:bottom w:type="dxa" w:w="100"/>
              <w:right w:type="dxa" w:w="160"/>
            </w:tcMar>
            <w:vAlign w:val="top"/>
          </w:tcPr>
          <w:p>
            <w:pPr>
              <w:spacing w:after="120" w:before="0" w:line="300"/>
              <w:jc w:val="left"/>
            </w:pPr>
            <w:r>
              <w:rPr>
                <w:rFonts w:ascii="Arial" w:cs="Arial" w:eastAsia="Arial" w:hAnsi="Arial"/>
                <w:color w:val="0A1628"/>
                <w:sz w:val="20"/>
                <w:szCs w:val="20"/>
              </w:rPr>
              <w:t xml:space="preserve">Email</w:t>
            </w:r>
          </w:p>
        </w:tc>
        <w:tc>
          <w:tcPr>
            <w:tcW w:type="dxa" w:w="6720"/>
            <w:tcBorders>
              <w:top w:val="single" w:color="D6D9DE" w:sz="4"/>
              <w:left w:val="single" w:color="D6D9DE" w:sz="4"/>
              <w:bottom w:val="single" w:color="D6D9DE" w:sz="4"/>
              <w:right w:val="single" w:color="D6D9DE" w:sz="4"/>
            </w:tcBorders>
            <w:tcMar>
              <w:top w:type="dxa" w:w="100"/>
              <w:left w:type="dxa" w:w="160"/>
              <w:bottom w:type="dxa" w:w="100"/>
              <w:right w:type="dxa" w:w="160"/>
            </w:tcMar>
            <w:vAlign w:val="top"/>
          </w:tcPr>
          <w:p>
            <w:pPr>
              <w:spacing w:after="120" w:before="0" w:line="300"/>
              <w:jc w:val="left"/>
            </w:pPr>
            <w:r>
              <w:rPr>
                <w:rFonts w:ascii="Arial" w:cs="Arial" w:eastAsia="Arial" w:hAnsi="Arial"/>
                <w:color w:val="3B4A63"/>
                <w:sz w:val="20"/>
                <w:szCs w:val="20"/>
              </w:rPr>
              <w:t xml:space="preserve">chairman@veltrixair.com</w:t>
            </w:r>
          </w:p>
        </w:tc>
      </w:tr>
      <w:tr>
        <w:tc>
          <w:tcPr>
            <w:tcW w:type="dxa" w:w="3360"/>
            <w:tcBorders>
              <w:top w:val="single" w:color="D6D9DE" w:sz="4"/>
              <w:left w:val="single" w:color="D6D9DE" w:sz="4"/>
              <w:bottom w:val="single" w:color="D6D9DE" w:sz="4"/>
              <w:right w:val="single" w:color="D6D9DE" w:sz="4"/>
            </w:tcBorders>
            <w:shd w:fill="F4F1E8" w:val="clear"/>
            <w:tcMar>
              <w:top w:type="dxa" w:w="100"/>
              <w:left w:type="dxa" w:w="160"/>
              <w:bottom w:type="dxa" w:w="100"/>
              <w:right w:type="dxa" w:w="160"/>
            </w:tcMar>
            <w:vAlign w:val="top"/>
          </w:tcPr>
          <w:p>
            <w:pPr>
              <w:spacing w:after="120" w:before="0" w:line="300"/>
              <w:jc w:val="left"/>
            </w:pPr>
            <w:r>
              <w:rPr>
                <w:rFonts w:ascii="Arial" w:cs="Arial" w:eastAsia="Arial" w:hAnsi="Arial"/>
                <w:color w:val="0A1628"/>
                <w:sz w:val="20"/>
                <w:szCs w:val="20"/>
              </w:rPr>
              <w:t xml:space="preserve">General Enquiries</w:t>
            </w:r>
          </w:p>
        </w:tc>
        <w:tc>
          <w:tcPr>
            <w:tcW w:type="dxa" w:w="6720"/>
            <w:tcBorders>
              <w:top w:val="single" w:color="D6D9DE" w:sz="4"/>
              <w:left w:val="single" w:color="D6D9DE" w:sz="4"/>
              <w:bottom w:val="single" w:color="D6D9DE" w:sz="4"/>
              <w:right w:val="single" w:color="D6D9DE" w:sz="4"/>
            </w:tcBorders>
            <w:tcMar>
              <w:top w:type="dxa" w:w="100"/>
              <w:left w:type="dxa" w:w="160"/>
              <w:bottom w:type="dxa" w:w="100"/>
              <w:right w:type="dxa" w:w="160"/>
            </w:tcMar>
            <w:vAlign w:val="top"/>
          </w:tcPr>
          <w:p>
            <w:pPr>
              <w:spacing w:after="120" w:before="0" w:line="300"/>
              <w:jc w:val="left"/>
            </w:pPr>
            <w:r>
              <w:rPr>
                <w:rFonts w:ascii="Arial" w:cs="Arial" w:eastAsia="Arial" w:hAnsi="Arial"/>
                <w:color w:val="3B4A63"/>
                <w:sz w:val="20"/>
                <w:szCs w:val="20"/>
              </w:rPr>
              <w:t xml:space="preserve">contact@veltrixair.com</w:t>
            </w:r>
          </w:p>
        </w:tc>
      </w:tr>
      <w:tr>
        <w:tc>
          <w:tcPr>
            <w:tcW w:type="dxa" w:w="3360"/>
            <w:tcBorders>
              <w:top w:val="single" w:color="D6D9DE" w:sz="4"/>
              <w:left w:val="single" w:color="D6D9DE" w:sz="4"/>
              <w:bottom w:val="single" w:color="D6D9DE" w:sz="4"/>
              <w:right w:val="single" w:color="D6D9DE" w:sz="4"/>
            </w:tcBorders>
            <w:shd w:fill="F4F1E8" w:val="clear"/>
            <w:tcMar>
              <w:top w:type="dxa" w:w="100"/>
              <w:left w:type="dxa" w:w="160"/>
              <w:bottom w:type="dxa" w:w="100"/>
              <w:right w:type="dxa" w:w="160"/>
            </w:tcMar>
            <w:vAlign w:val="top"/>
          </w:tcPr>
          <w:p>
            <w:pPr>
              <w:spacing w:after="120" w:before="0" w:line="300"/>
              <w:jc w:val="left"/>
            </w:pPr>
            <w:r>
              <w:rPr>
                <w:rFonts w:ascii="Arial" w:cs="Arial" w:eastAsia="Arial" w:hAnsi="Arial"/>
                <w:color w:val="0A1628"/>
                <w:sz w:val="20"/>
                <w:szCs w:val="20"/>
              </w:rPr>
              <w:t xml:space="preserve">Web</w:t>
            </w:r>
          </w:p>
        </w:tc>
        <w:tc>
          <w:tcPr>
            <w:tcW w:type="dxa" w:w="6720"/>
            <w:tcBorders>
              <w:top w:val="single" w:color="D6D9DE" w:sz="4"/>
              <w:left w:val="single" w:color="D6D9DE" w:sz="4"/>
              <w:bottom w:val="single" w:color="D6D9DE" w:sz="4"/>
              <w:right w:val="single" w:color="D6D9DE" w:sz="4"/>
            </w:tcBorders>
            <w:tcMar>
              <w:top w:type="dxa" w:w="100"/>
              <w:left w:type="dxa" w:w="160"/>
              <w:bottom w:type="dxa" w:w="100"/>
              <w:right w:type="dxa" w:w="160"/>
            </w:tcMar>
            <w:vAlign w:val="top"/>
          </w:tcPr>
          <w:p>
            <w:pPr>
              <w:spacing w:after="120" w:before="0" w:line="300"/>
              <w:jc w:val="left"/>
            </w:pPr>
            <w:r>
              <w:rPr>
                <w:rFonts w:ascii="Arial" w:cs="Arial" w:eastAsia="Arial" w:hAnsi="Arial"/>
                <w:color w:val="3B4A63"/>
                <w:sz w:val="20"/>
                <w:szCs w:val="20"/>
              </w:rPr>
              <w:t xml:space="preserve">www.veltrixair.com  ·  veltrixair.com/capability-statement</w:t>
            </w:r>
          </w:p>
        </w:tc>
      </w:tr>
    </w:tbl>
    <w:p>
      <w:pPr>
        <w:pBdr>
          <w:bottom w:val="single" w:color="C9A84C" w:sz="12" w:space="1"/>
        </w:pBdr>
        <w:spacing w:after="120" w:before="120"/>
      </w:pPr>
      <w:r>
        <w:t xml:space="preserve"/>
      </w:r>
    </w:p>
    <w:p>
      <w:pPr>
        <w:spacing w:after="60" w:before="200"/>
        <w:jc w:val="center"/>
      </w:pPr>
      <w:r>
        <w:rPr>
          <w:rFonts w:ascii="Arial" w:cs="Arial" w:eastAsia="Arial" w:hAnsi="Arial"/>
          <w:b/>
          <w:bCs/>
          <w:color w:val="003B8E"/>
          <w:spacing w:val="80"/>
          <w:sz w:val="16"/>
          <w:szCs w:val="16"/>
        </w:rPr>
        <w:t xml:space="preserve">ONE ENTERPRISE  ·  INFINITE CAPABILITY</w:t>
      </w:r>
    </w:p>
    <w:p>
      <w:pPr>
        <w:spacing w:after="0" w:before="60"/>
        <w:jc w:val="center"/>
      </w:pPr>
      <w:r>
        <w:rPr>
          <w:rFonts w:ascii="Arial" w:cs="Arial" w:eastAsia="Arial" w:hAnsi="Arial"/>
          <w:color w:val="6E7A91"/>
          <w:spacing w:val="30"/>
          <w:sz w:val="12"/>
          <w:szCs w:val="12"/>
        </w:rPr>
        <w:t xml:space="preserve">© 2026 VELTRIXAIR ENTERPRISES  ·  ALL RIGHTS RESERVED  ·  VTX-CAP-2026-01</w:t>
      </w:r>
    </w:p>
    <w:sectPr>
      <w:headerReference w:type="default" r:id="rId7"/>
      <w:footerReference w:type="default" r:id="rId8"/>
      <w:pgSz w:w="12240" w:h="15840" w:orient="portrait"/>
      <w:pgMar w:top="1440" w:right="1080" w:bottom="132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6D9DE" w:sz="4" w:space="6"/>
      </w:pBdr>
      <w:tabs>
        <w:tab w:val="center" w:pos="5040"/>
        <w:tab w:val="right" w:pos="10080"/>
      </w:tabs>
      <w:spacing w:after="0" w:before="60"/>
    </w:pPr>
    <w:r>
      <w:rPr>
        <w:rFonts w:ascii="Arial" w:cs="Arial" w:eastAsia="Arial" w:hAnsi="Arial"/>
        <w:color w:val="6E7A91"/>
        <w:sz w:val="12"/>
        <w:szCs w:val="12"/>
      </w:rPr>
      <w:t xml:space="preserve">© 2026 Veltrixair Enterprises</w:t>
    </w:r>
    <w:r>
      <w:rPr>
        <w:rFonts w:ascii="Arial" w:cs="Arial" w:eastAsia="Arial" w:hAnsi="Arial"/>
        <w:sz w:val="12"/>
        <w:szCs w:val="12"/>
      </w:rPr>
      <w:t xml:space="preserve">	</w:t>
    </w:r>
    <w:r>
      <w:rPr>
        <w:rFonts w:ascii="Arial" w:cs="Arial" w:eastAsia="Arial" w:hAnsi="Arial"/>
        <w:color w:val="6E7A91"/>
        <w:sz w:val="12"/>
        <w:szCs w:val="12"/>
      </w:rPr>
      <w:t xml:space="preserve">Public · Distribution Approved</w:t>
    </w:r>
    <w:r>
      <w:rPr>
        <w:rFonts w:ascii="Arial" w:cs="Arial" w:eastAsia="Arial" w:hAnsi="Arial"/>
        <w:sz w:val="12"/>
        <w:szCs w:val="12"/>
      </w:rPr>
      <w:t xml:space="preserve">	</w:t>
    </w:r>
    <w:r>
      <w:rPr>
        <w:rFonts w:ascii="Arial" w:cs="Arial" w:eastAsia="Arial" w:hAnsi="Arial"/>
        <w:color w:val="6E7A91"/>
        <w:sz w:val="12"/>
        <w:szCs w:val="12"/>
      </w:rPr>
      <w:t xml:space="preserve">Page </w:t>
    </w:r>
    <w:r>
      <w:rPr>
        <w:rFonts w:ascii="Arial" w:cs="Arial" w:eastAsia="Arial" w:hAnsi="Arial"/>
        <w:b/>
        <w:bCs/>
        <w:color w:val="0A1628"/>
        <w:sz w:val="12"/>
        <w:szCs w:val="12"/>
      </w:rPr>
      <w:fldChar w:fldCharType="begin"/>
      <w:instrText xml:space="preserve">PAGE</w:instrText>
      <w:fldChar w:fldCharType="separate"/>
      <w:fldChar w:fldCharType="end"/>
    </w:r>
    <w:r>
      <w:rPr>
        <w:rFonts w:ascii="Arial" w:cs="Arial" w:eastAsia="Arial" w:hAnsi="Arial"/>
        <w:color w:val="6E7A91"/>
        <w:sz w:val="12"/>
        <w:szCs w:val="12"/>
      </w:rPr>
      <w:t xml:space="preserve"> / </w:t>
    </w:r>
    <w:r>
      <w:rPr>
        <w:rFonts w:ascii="Arial" w:cs="Arial" w:eastAsia="Arial" w:hAnsi="Arial"/>
        <w:color w:val="6E7A91"/>
        <w:sz w:val="12"/>
        <w:szCs w:val="12"/>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A84C" w:sz="8" w:space="6"/>
      </w:pBdr>
      <w:tabs>
        <w:tab w:val="center" w:pos="5040"/>
        <w:tab w:val="right" w:pos="10080"/>
      </w:tabs>
      <w:spacing w:after="60" w:before="0"/>
    </w:pPr>
    <w:r>
      <w:rPr>
        <w:rFonts w:ascii="Arial" w:cs="Arial" w:eastAsia="Arial" w:hAnsi="Arial"/>
        <w:b/>
        <w:bCs/>
        <w:color w:val="0A1628"/>
        <w:spacing w:val="40"/>
        <w:sz w:val="14"/>
        <w:szCs w:val="14"/>
      </w:rPr>
      <w:t xml:space="preserve">VELTRIXAIR</w:t>
    </w:r>
    <w:r>
      <w:rPr>
        <w:rFonts w:ascii="Arial" w:cs="Arial" w:eastAsia="Arial" w:hAnsi="Arial"/>
        <w:sz w:val="14"/>
        <w:szCs w:val="14"/>
      </w:rPr>
      <w:t xml:space="preserve">	</w:t>
    </w:r>
    <w:r>
      <w:rPr>
        <w:rFonts w:ascii="Arial" w:cs="Arial" w:eastAsia="Arial" w:hAnsi="Arial"/>
        <w:color w:val="6E7A91"/>
        <w:spacing w:val="30"/>
        <w:sz w:val="12"/>
        <w:szCs w:val="12"/>
      </w:rPr>
      <w:t xml:space="preserve">CAPABILITY STATEMENT</w:t>
    </w:r>
    <w:r>
      <w:rPr>
        <w:rFonts w:ascii="Arial" w:cs="Arial" w:eastAsia="Arial" w:hAnsi="Arial"/>
        <w:sz w:val="14"/>
        <w:szCs w:val="14"/>
      </w:rPr>
      <w:t xml:space="preserve">	</w:t>
    </w:r>
    <w:r>
      <w:rPr>
        <w:rFonts w:ascii="Arial" w:cs="Arial" w:eastAsia="Arial" w:hAnsi="Arial"/>
        <w:color w:val="6E7A91"/>
        <w:spacing w:val="30"/>
        <w:sz w:val="12"/>
        <w:szCs w:val="12"/>
      </w:rPr>
      <w:t xml:space="preserve">VTX-CAP-2026-01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80"/>
      </w:pPr>
    </w:lvl>
  </w:abstractNum>
  <w:abstractNum w:abstractNumId="3" w15:restartNumberingAfterBreak="0">
    <w:multiLevelType w:val="hybridMultilevel"/>
    <w:lvl w:ilvl="0" w15:tentative="1">
      <w:start w:val="1"/>
      <w:numFmt w:val="decimal"/>
      <w:lvlText w:val="%1."/>
      <w:lvlJc w:val="left"/>
      <w:pPr>
        <w:ind w:left="48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0A1628"/>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480"/>
      <w:outlineLvl w:val="0"/>
    </w:pPr>
    <w:rPr>
      <w:rFonts w:ascii="Arial" w:cs="Arial" w:eastAsia="Arial" w:hAnsi="Arial"/>
      <w:b/>
      <w:bCs/>
      <w:color w:val="0A1628"/>
      <w:sz w:val="36"/>
      <w:szCs w:val="36"/>
    </w:rPr>
  </w:style>
  <w:style w:type="paragraph" w:styleId="Heading2">
    <w:name w:val="Heading 2"/>
    <w:basedOn w:val="Normal"/>
    <w:next w:val="Normal"/>
    <w:qFormat/>
    <w:pPr>
      <w:spacing w:after="120" w:before="320"/>
      <w:outlineLvl w:val="1"/>
    </w:pPr>
    <w:rPr>
      <w:rFonts w:ascii="Arial" w:cs="Arial" w:eastAsia="Arial" w:hAnsi="Arial"/>
      <w:b/>
      <w:bCs/>
      <w:color w:val="0A1628"/>
      <w:sz w:val="24"/>
      <w:szCs w:val="24"/>
    </w:rPr>
  </w:style>
</w:styles>
</file>

<file path=word/_rels/comments.xml.rels><?xml version="1.0" encoding="UTF-8"?><Relationships xmlns="http://schemas.openxmlformats.org/package/2006/relationship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footnotes" Target="footnote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customXml" Target="../customXml/item2.xml"/><Relationship Id="rId5" Type="http://schemas.openxmlformats.org/officeDocument/2006/relationships/settings" Target="settings.xml"/><Relationship Id="rId10" Type="http://schemas.openxmlformats.org/officeDocument/2006/relationships/customXml" Target="../customXml/item1.xml"/><Relationship Id="rId4" Type="http://schemas.openxmlformats.org/officeDocument/2006/relationships/endnotes" Target="endnotes.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65C24D9267624E900AF26426BF7455" ma:contentTypeVersion="3" ma:contentTypeDescription="Create a new document." ma:contentTypeScope="" ma:versionID="c5dafdaef50658dea25fb20b6c024f49">
  <xsd:schema xmlns:xsd="http://www.w3.org/2001/XMLSchema" xmlns:xs="http://www.w3.org/2001/XMLSchema" xmlns:p="http://schemas.microsoft.com/office/2006/metadata/properties" xmlns:ns2="44767f4b-87c0-44f2-bd28-6d9c0a30ec4f" targetNamespace="http://schemas.microsoft.com/office/2006/metadata/properties" ma:root="true" ma:fieldsID="75330ded6771215500eff6d300cf173a" ns2:_="">
    <xsd:import namespace="44767f4b-87c0-44f2-bd28-6d9c0a30ec4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767f4b-87c0-44f2-bd28-6d9c0a30ec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FA9824-0AB5-4D7C-916C-8A43FCC41B78}"/>
</file>

<file path=customXml/itemProps2.xml><?xml version="1.0" encoding="utf-8"?>
<ds:datastoreItem xmlns:ds="http://schemas.openxmlformats.org/officeDocument/2006/customXml" ds:itemID="{F18E8400-797D-4AE0-92D5-0FC31A7BCB29}"/>
</file>

<file path=customXml/itemProps3.xml><?xml version="1.0" encoding="utf-8"?>
<ds:datastoreItem xmlns:ds="http://schemas.openxmlformats.org/officeDocument/2006/customXml" ds:itemID="{3980F9D8-88C2-4602-BF7A-A9BE837EF8E6}"/>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Veltrixair Capability Statement 2026</dc:title>
  <dc:creator>Veltrixair Enterprises</dc:creator>
  <dc:description>VTX-CAP-2026-01 · Capability Statement · 2026 Edition</dc:description>
  <cp:lastModifiedBy>Un-named</cp:lastModifiedBy>
  <cp:revision>1</cp:revision>
  <dcterms:created xsi:type="dcterms:W3CDTF">2026-04-30T14:39:41Z</dcterms:created>
  <dcterms:modified xsi:type="dcterms:W3CDTF">2026-04-30T14:39:41Z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0x010100CD65C24D9267624E900AF26426BF7455</vt:lpwstr>
  </property>
</Properties>
</file>